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06B7F853" w:rsidR="003C7F2F" w:rsidRDefault="003C7F2F" w:rsidP="003C7F2F">
      <w:pPr>
        <w:spacing w:after="480"/>
      </w:pPr>
      <w:r>
        <w:rPr>
          <w:noProof/>
        </w:rPr>
        <w:drawing>
          <wp:anchor distT="0" distB="0" distL="114300" distR="114300" simplePos="0" relativeHeight="251658752" behindDoc="1" locked="0" layoutInCell="1" allowOverlap="1" wp14:anchorId="1C2692AC" wp14:editId="2BD1DD4D">
            <wp:simplePos x="0" y="0"/>
            <wp:positionH relativeFrom="margin">
              <wp:align>left</wp:align>
            </wp:positionH>
            <wp:positionV relativeFrom="paragraph">
              <wp:posOffset>-269423</wp:posOffset>
            </wp:positionV>
            <wp:extent cx="2009775" cy="495935"/>
            <wp:effectExtent l="0" t="0" r="9525" b="0"/>
            <wp:wrapNone/>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C7F2F" w14:paraId="719D56FE" w14:textId="77777777" w:rsidTr="008C351D">
        <w:trPr>
          <w:tblHeader/>
        </w:trPr>
        <w:tc>
          <w:tcPr>
            <w:tcW w:w="3456" w:type="dxa"/>
            <w:tcBorders>
              <w:bottom w:val="single" w:sz="18" w:space="0" w:color="auto"/>
            </w:tcBorders>
          </w:tcPr>
          <w:p w14:paraId="5B627C75" w14:textId="77777777" w:rsidR="003C7F2F" w:rsidRPr="00B805DB" w:rsidRDefault="003C7F2F" w:rsidP="008C351D">
            <w:pPr>
              <w:pStyle w:val="Heading1"/>
              <w:spacing w:after="240"/>
              <w:outlineLvl w:val="0"/>
            </w:pPr>
            <w:r>
              <w:t>Report f</w:t>
            </w:r>
            <w:r w:rsidRPr="00C869F3">
              <w:t>or:</w:t>
            </w:r>
          </w:p>
        </w:tc>
        <w:tc>
          <w:tcPr>
            <w:tcW w:w="5054" w:type="dxa"/>
            <w:tcBorders>
              <w:bottom w:val="single" w:sz="18" w:space="0" w:color="auto"/>
            </w:tcBorders>
          </w:tcPr>
          <w:p w14:paraId="6C4D6EB7" w14:textId="77777777" w:rsidR="003C7F2F" w:rsidRPr="005E3A10" w:rsidRDefault="003C7F2F" w:rsidP="008C351D">
            <w:pPr>
              <w:pStyle w:val="Heading1"/>
              <w:outlineLvl w:val="0"/>
              <w:rPr>
                <w:szCs w:val="24"/>
              </w:rPr>
            </w:pPr>
            <w:r w:rsidRPr="005E3A10">
              <w:t>Cabinet</w:t>
            </w:r>
          </w:p>
        </w:tc>
      </w:tr>
      <w:tr w:rsidR="003C7F2F" w14:paraId="795E4B25" w14:textId="77777777" w:rsidTr="008C351D">
        <w:tc>
          <w:tcPr>
            <w:tcW w:w="3456" w:type="dxa"/>
            <w:tcBorders>
              <w:top w:val="single" w:sz="18" w:space="0" w:color="auto"/>
            </w:tcBorders>
          </w:tcPr>
          <w:p w14:paraId="3C1F397F" w14:textId="77777777" w:rsidR="003C7F2F" w:rsidRPr="00C13A5F" w:rsidRDefault="003C7F2F" w:rsidP="008C35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14ED9448" w14:textId="582501FF" w:rsidR="003C7F2F" w:rsidRPr="005E3A10" w:rsidRDefault="005933AB" w:rsidP="003C7F2F">
            <w:pPr>
              <w:spacing w:line="360" w:lineRule="auto"/>
              <w:rPr>
                <w:rFonts w:cs="Arial"/>
                <w:szCs w:val="24"/>
              </w:rPr>
            </w:pPr>
            <w:r>
              <w:rPr>
                <w:rFonts w:cs="Arial"/>
                <w:szCs w:val="24"/>
              </w:rPr>
              <w:t>8</w:t>
            </w:r>
            <w:r w:rsidR="009D55DB" w:rsidRPr="009D55DB">
              <w:rPr>
                <w:rFonts w:cs="Arial"/>
                <w:szCs w:val="24"/>
                <w:vertAlign w:val="superscript"/>
              </w:rPr>
              <w:t>th</w:t>
            </w:r>
            <w:r w:rsidR="009D55DB">
              <w:rPr>
                <w:rFonts w:cs="Arial"/>
                <w:szCs w:val="24"/>
              </w:rPr>
              <w:t xml:space="preserve"> </w:t>
            </w:r>
            <w:r>
              <w:rPr>
                <w:rFonts w:cs="Arial"/>
                <w:szCs w:val="24"/>
              </w:rPr>
              <w:t>December 2022</w:t>
            </w:r>
          </w:p>
        </w:tc>
      </w:tr>
      <w:tr w:rsidR="003C7F2F" w14:paraId="2BAFBD63" w14:textId="77777777" w:rsidTr="008C351D">
        <w:tc>
          <w:tcPr>
            <w:tcW w:w="3456" w:type="dxa"/>
          </w:tcPr>
          <w:p w14:paraId="3175C51A" w14:textId="77777777" w:rsidR="003C7F2F" w:rsidRPr="00C13A5F" w:rsidRDefault="003C7F2F" w:rsidP="003C7F2F">
            <w:pPr>
              <w:pStyle w:val="Infotext"/>
              <w:spacing w:after="240"/>
              <w:rPr>
                <w:rFonts w:ascii="Arial Black" w:hAnsi="Arial Black"/>
              </w:rPr>
            </w:pPr>
            <w:r w:rsidRPr="00C13A5F">
              <w:rPr>
                <w:rFonts w:ascii="Arial Black" w:hAnsi="Arial Black" w:cs="Arial"/>
              </w:rPr>
              <w:t>Subject:</w:t>
            </w:r>
          </w:p>
        </w:tc>
        <w:tc>
          <w:tcPr>
            <w:tcW w:w="5054" w:type="dxa"/>
          </w:tcPr>
          <w:p w14:paraId="6D0A79EC" w14:textId="04575E07" w:rsidR="003C7F2F" w:rsidRPr="003A742D" w:rsidRDefault="003C7F2F" w:rsidP="003C7F2F">
            <w:pPr>
              <w:rPr>
                <w:rFonts w:cs="Arial"/>
                <w:szCs w:val="24"/>
              </w:rPr>
            </w:pPr>
            <w:r>
              <w:rPr>
                <w:rFonts w:cs="Arial"/>
                <w:szCs w:val="24"/>
              </w:rPr>
              <w:t>Q</w:t>
            </w:r>
            <w:r w:rsidR="005933AB">
              <w:rPr>
                <w:rFonts w:cs="Arial"/>
                <w:szCs w:val="24"/>
              </w:rPr>
              <w:t>2</w:t>
            </w:r>
            <w:r>
              <w:rPr>
                <w:rFonts w:cs="Arial"/>
                <w:szCs w:val="24"/>
              </w:rPr>
              <w:t xml:space="preserve"> </w:t>
            </w:r>
            <w:r w:rsidRPr="003A742D">
              <w:rPr>
                <w:rFonts w:cs="Arial"/>
                <w:szCs w:val="24"/>
              </w:rPr>
              <w:t xml:space="preserve">Revenue and Capital </w:t>
            </w:r>
            <w:r w:rsidR="00343D58">
              <w:rPr>
                <w:rFonts w:cs="Arial"/>
                <w:szCs w:val="24"/>
              </w:rPr>
              <w:t>Budget</w:t>
            </w:r>
            <w:r w:rsidRPr="003A742D">
              <w:rPr>
                <w:rFonts w:cs="Arial"/>
                <w:szCs w:val="24"/>
              </w:rPr>
              <w:t xml:space="preserve"> </w:t>
            </w:r>
            <w:r>
              <w:rPr>
                <w:rFonts w:cs="Arial"/>
                <w:szCs w:val="24"/>
              </w:rPr>
              <w:t xml:space="preserve">2022-23 </w:t>
            </w:r>
          </w:p>
          <w:p w14:paraId="0E173743" w14:textId="77777777" w:rsidR="003C7F2F" w:rsidRPr="005E3A10" w:rsidRDefault="003C7F2F" w:rsidP="003C7F2F">
            <w:pPr>
              <w:rPr>
                <w:rFonts w:cs="Arial"/>
                <w:szCs w:val="24"/>
              </w:rPr>
            </w:pPr>
          </w:p>
        </w:tc>
      </w:tr>
      <w:tr w:rsidR="003C7F2F" w14:paraId="6D9F09DB" w14:textId="77777777" w:rsidTr="008C351D">
        <w:tc>
          <w:tcPr>
            <w:tcW w:w="3456" w:type="dxa"/>
          </w:tcPr>
          <w:p w14:paraId="100153B6"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Key Decision:</w:t>
            </w:r>
          </w:p>
        </w:tc>
        <w:tc>
          <w:tcPr>
            <w:tcW w:w="5054" w:type="dxa"/>
          </w:tcPr>
          <w:p w14:paraId="1DF5314E" w14:textId="051237D7" w:rsidR="003C7F2F" w:rsidRPr="005E3A10" w:rsidRDefault="003C7F2F" w:rsidP="003C7F2F">
            <w:pPr>
              <w:pStyle w:val="Infotext"/>
              <w:rPr>
                <w:rFonts w:cs="Arial"/>
                <w:sz w:val="24"/>
                <w:szCs w:val="24"/>
              </w:rPr>
            </w:pPr>
            <w:r w:rsidRPr="005E3A10">
              <w:rPr>
                <w:rFonts w:cs="Arial"/>
                <w:sz w:val="24"/>
                <w:szCs w:val="24"/>
              </w:rPr>
              <w:t>No</w:t>
            </w:r>
          </w:p>
          <w:p w14:paraId="1AACAE15" w14:textId="77777777" w:rsidR="003C7F2F" w:rsidRPr="005E3A10" w:rsidRDefault="003C7F2F" w:rsidP="003C7F2F">
            <w:pPr>
              <w:pStyle w:val="Infotext"/>
              <w:rPr>
                <w:rFonts w:cs="Arial"/>
                <w:szCs w:val="24"/>
              </w:rPr>
            </w:pPr>
          </w:p>
        </w:tc>
      </w:tr>
      <w:tr w:rsidR="003C7F2F" w14:paraId="47289D10" w14:textId="77777777" w:rsidTr="008C351D">
        <w:tc>
          <w:tcPr>
            <w:tcW w:w="3456" w:type="dxa"/>
          </w:tcPr>
          <w:p w14:paraId="094A1989"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15961F0" w14:textId="7F6FAC7D" w:rsidR="003C7F2F" w:rsidRPr="00B37833" w:rsidRDefault="003C7F2F" w:rsidP="003C7F2F">
            <w:pPr>
              <w:pStyle w:val="Infotext"/>
              <w:rPr>
                <w:rFonts w:cs="Arial"/>
                <w:sz w:val="24"/>
                <w:szCs w:val="24"/>
              </w:rPr>
            </w:pPr>
            <w:r w:rsidRPr="00B37833">
              <w:rPr>
                <w:rFonts w:cs="Arial"/>
                <w:sz w:val="24"/>
                <w:szCs w:val="24"/>
              </w:rPr>
              <w:t>Dawn Calvert</w:t>
            </w:r>
            <w:r>
              <w:rPr>
                <w:rFonts w:cs="Arial"/>
                <w:sz w:val="24"/>
                <w:szCs w:val="24"/>
              </w:rPr>
              <w:t xml:space="preserve"> - </w:t>
            </w:r>
            <w:r w:rsidRPr="00B37833">
              <w:rPr>
                <w:rFonts w:cs="Arial"/>
                <w:sz w:val="24"/>
                <w:szCs w:val="24"/>
              </w:rPr>
              <w:t>Director of Finance and Assurance</w:t>
            </w:r>
          </w:p>
          <w:p w14:paraId="0E78B0F0" w14:textId="77777777" w:rsidR="003C7F2F" w:rsidRPr="005E3A10" w:rsidRDefault="003C7F2F" w:rsidP="003C7F2F">
            <w:pPr>
              <w:pStyle w:val="Infotext"/>
              <w:rPr>
                <w:rFonts w:cs="Arial"/>
                <w:sz w:val="24"/>
                <w:szCs w:val="24"/>
              </w:rPr>
            </w:pPr>
          </w:p>
        </w:tc>
      </w:tr>
      <w:tr w:rsidR="003C7F2F" w14:paraId="7D12C529" w14:textId="77777777" w:rsidTr="008C351D">
        <w:tc>
          <w:tcPr>
            <w:tcW w:w="3456" w:type="dxa"/>
          </w:tcPr>
          <w:p w14:paraId="7C1E394A" w14:textId="77777777" w:rsidR="003C7F2F" w:rsidRPr="00C13A5F" w:rsidRDefault="003C7F2F" w:rsidP="003C7F2F">
            <w:pPr>
              <w:pStyle w:val="Infotext"/>
              <w:spacing w:after="240"/>
              <w:rPr>
                <w:rFonts w:ascii="Arial Black" w:hAnsi="Arial Black"/>
              </w:rPr>
            </w:pPr>
            <w:r w:rsidRPr="00DB6C3D">
              <w:rPr>
                <w:rFonts w:ascii="Arial Black" w:hAnsi="Arial Black"/>
              </w:rPr>
              <w:t>Portfolio Holder:</w:t>
            </w:r>
          </w:p>
        </w:tc>
        <w:tc>
          <w:tcPr>
            <w:tcW w:w="5054" w:type="dxa"/>
          </w:tcPr>
          <w:p w14:paraId="5ED3777C" w14:textId="00BEC6F7" w:rsidR="003C7F2F" w:rsidRPr="00B37833" w:rsidRDefault="003C7F2F" w:rsidP="003C7F2F">
            <w:pPr>
              <w:pStyle w:val="Infotext"/>
              <w:jc w:val="both"/>
              <w:rPr>
                <w:rFonts w:cs="Arial"/>
                <w:sz w:val="24"/>
                <w:szCs w:val="24"/>
              </w:rPr>
            </w:pPr>
            <w:r w:rsidRPr="00B37833">
              <w:rPr>
                <w:rFonts w:cs="Arial"/>
                <w:sz w:val="24"/>
                <w:szCs w:val="24"/>
              </w:rPr>
              <w:t>Councillor David Ashton</w:t>
            </w:r>
            <w:r>
              <w:rPr>
                <w:rFonts w:cs="Arial"/>
                <w:sz w:val="24"/>
                <w:szCs w:val="24"/>
              </w:rPr>
              <w:t xml:space="preserve"> - </w:t>
            </w:r>
            <w:r w:rsidRPr="00B37833">
              <w:rPr>
                <w:rFonts w:cs="Arial"/>
                <w:sz w:val="24"/>
                <w:szCs w:val="24"/>
              </w:rPr>
              <w:t xml:space="preserve">Portfolio Holder for Finance and </w:t>
            </w:r>
            <w:r>
              <w:rPr>
                <w:rFonts w:cs="Arial"/>
                <w:sz w:val="24"/>
                <w:szCs w:val="24"/>
              </w:rPr>
              <w:t>Human Resources</w:t>
            </w:r>
          </w:p>
          <w:p w14:paraId="4E75177C" w14:textId="005F307A" w:rsidR="003C7F2F" w:rsidRPr="005E3A10" w:rsidRDefault="003C7F2F" w:rsidP="003C7F2F">
            <w:pPr>
              <w:pStyle w:val="Infotext"/>
              <w:rPr>
                <w:rFonts w:cs="Arial"/>
                <w:color w:val="FF0000"/>
                <w:sz w:val="24"/>
                <w:szCs w:val="24"/>
              </w:rPr>
            </w:pPr>
          </w:p>
        </w:tc>
      </w:tr>
      <w:tr w:rsidR="003C7F2F" w14:paraId="2A25BD0E" w14:textId="77777777" w:rsidTr="008C351D">
        <w:tc>
          <w:tcPr>
            <w:tcW w:w="3456" w:type="dxa"/>
          </w:tcPr>
          <w:p w14:paraId="5422C349" w14:textId="77777777" w:rsidR="003C7F2F" w:rsidRPr="00C13A5F" w:rsidRDefault="003C7F2F" w:rsidP="003C7F2F">
            <w:pPr>
              <w:pStyle w:val="Infotext"/>
              <w:spacing w:after="240"/>
              <w:rPr>
                <w:rFonts w:ascii="Arial Black" w:hAnsi="Arial Black"/>
              </w:rPr>
            </w:pPr>
            <w:r w:rsidRPr="00DB6C3D">
              <w:rPr>
                <w:rFonts w:ascii="Arial Black" w:hAnsi="Arial Black"/>
              </w:rPr>
              <w:t>Exempt:</w:t>
            </w:r>
          </w:p>
        </w:tc>
        <w:tc>
          <w:tcPr>
            <w:tcW w:w="5054" w:type="dxa"/>
          </w:tcPr>
          <w:p w14:paraId="54AA9811" w14:textId="31E3A834" w:rsidR="003C7F2F" w:rsidRPr="005E3A10" w:rsidRDefault="003C7F2F" w:rsidP="003C7F2F">
            <w:pPr>
              <w:pStyle w:val="Infotext"/>
              <w:rPr>
                <w:rFonts w:cs="Arial"/>
                <w:sz w:val="24"/>
                <w:szCs w:val="24"/>
              </w:rPr>
            </w:pPr>
            <w:r w:rsidRPr="005E3A10">
              <w:rPr>
                <w:rFonts w:cs="Arial"/>
                <w:sz w:val="24"/>
                <w:szCs w:val="24"/>
              </w:rPr>
              <w:t>No</w:t>
            </w:r>
          </w:p>
          <w:p w14:paraId="016F6942" w14:textId="77777777" w:rsidR="003C7F2F" w:rsidRPr="005E3A10" w:rsidRDefault="003C7F2F" w:rsidP="003C7F2F">
            <w:pPr>
              <w:pStyle w:val="Infotext"/>
              <w:rPr>
                <w:rFonts w:cs="Arial"/>
                <w:color w:val="FF0000"/>
                <w:sz w:val="24"/>
                <w:szCs w:val="24"/>
              </w:rPr>
            </w:pPr>
          </w:p>
        </w:tc>
      </w:tr>
      <w:tr w:rsidR="003C7F2F" w14:paraId="20FCCAC6" w14:textId="77777777" w:rsidTr="008C351D">
        <w:tc>
          <w:tcPr>
            <w:tcW w:w="3456" w:type="dxa"/>
          </w:tcPr>
          <w:p w14:paraId="04D27EC8" w14:textId="77777777" w:rsidR="003C7F2F" w:rsidRPr="00C13A5F" w:rsidRDefault="003C7F2F" w:rsidP="003C7F2F">
            <w:pPr>
              <w:pStyle w:val="Infotext"/>
              <w:spacing w:after="240"/>
              <w:rPr>
                <w:rFonts w:ascii="Arial Black" w:hAnsi="Arial Black"/>
              </w:rPr>
            </w:pPr>
            <w:r w:rsidRPr="00DB6C3D">
              <w:rPr>
                <w:rFonts w:ascii="Arial Black" w:hAnsi="Arial Black"/>
              </w:rPr>
              <w:t>Decision subject to Call-in:</w:t>
            </w:r>
          </w:p>
        </w:tc>
        <w:tc>
          <w:tcPr>
            <w:tcW w:w="5054" w:type="dxa"/>
          </w:tcPr>
          <w:p w14:paraId="34B50E92" w14:textId="05B8AEC2" w:rsidR="003C7F2F" w:rsidRPr="005E3A10" w:rsidRDefault="003C7F2F" w:rsidP="003C7F2F">
            <w:pPr>
              <w:pStyle w:val="Infotext"/>
              <w:rPr>
                <w:rFonts w:cs="Arial"/>
                <w:szCs w:val="24"/>
              </w:rPr>
            </w:pPr>
            <w:r w:rsidRPr="005E3A10">
              <w:rPr>
                <w:rFonts w:cs="Arial"/>
                <w:sz w:val="24"/>
                <w:szCs w:val="24"/>
              </w:rPr>
              <w:t xml:space="preserve">Yes </w:t>
            </w:r>
          </w:p>
        </w:tc>
      </w:tr>
      <w:tr w:rsidR="003C7F2F" w14:paraId="4F30CCD1" w14:textId="77777777" w:rsidTr="008C351D">
        <w:tc>
          <w:tcPr>
            <w:tcW w:w="3456" w:type="dxa"/>
          </w:tcPr>
          <w:p w14:paraId="1CFBD3F4" w14:textId="77777777" w:rsidR="003C7F2F" w:rsidRPr="00C13A5F" w:rsidRDefault="003C7F2F" w:rsidP="003C7F2F">
            <w:pPr>
              <w:pStyle w:val="Infotext"/>
              <w:spacing w:after="240"/>
              <w:rPr>
                <w:rFonts w:ascii="Arial Black" w:hAnsi="Arial Black" w:cs="Arial"/>
              </w:rPr>
            </w:pPr>
            <w:r>
              <w:rPr>
                <w:rFonts w:ascii="Arial Black" w:hAnsi="Arial Black" w:cs="Arial"/>
              </w:rPr>
              <w:t>Wards affected:</w:t>
            </w:r>
          </w:p>
        </w:tc>
        <w:tc>
          <w:tcPr>
            <w:tcW w:w="5054" w:type="dxa"/>
          </w:tcPr>
          <w:p w14:paraId="66F48F78" w14:textId="03B15E7F" w:rsidR="003C7F2F" w:rsidRPr="00307F76" w:rsidRDefault="003C7F2F" w:rsidP="003C7F2F">
            <w:pPr>
              <w:rPr>
                <w:rFonts w:cs="Arial"/>
                <w:b/>
                <w:color w:val="FF0000"/>
                <w:szCs w:val="24"/>
              </w:rPr>
            </w:pPr>
            <w:r>
              <w:rPr>
                <w:rFonts w:cs="Arial"/>
                <w:szCs w:val="24"/>
              </w:rPr>
              <w:t>All</w:t>
            </w:r>
          </w:p>
        </w:tc>
      </w:tr>
      <w:tr w:rsidR="003C7F2F" w14:paraId="5747A94D" w14:textId="77777777" w:rsidTr="008C351D">
        <w:tc>
          <w:tcPr>
            <w:tcW w:w="3456" w:type="dxa"/>
          </w:tcPr>
          <w:p w14:paraId="1E2E4465"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Enclosures:</w:t>
            </w:r>
          </w:p>
        </w:tc>
        <w:tc>
          <w:tcPr>
            <w:tcW w:w="5054" w:type="dxa"/>
          </w:tcPr>
          <w:p w14:paraId="4338303E" w14:textId="77777777" w:rsidR="003C7F2F" w:rsidRPr="00B37833" w:rsidRDefault="003C7F2F" w:rsidP="003C7F2F">
            <w:pPr>
              <w:rPr>
                <w:rFonts w:cs="Arial"/>
                <w:szCs w:val="24"/>
              </w:rPr>
            </w:pPr>
            <w:r>
              <w:rPr>
                <w:rFonts w:cs="Arial"/>
                <w:szCs w:val="24"/>
              </w:rPr>
              <w:t>Appendix 1 – Summary of Grants 2022-23</w:t>
            </w:r>
          </w:p>
          <w:p w14:paraId="5D9F82C1"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2</w:t>
            </w:r>
            <w:r w:rsidRPr="00B37833">
              <w:rPr>
                <w:rFonts w:cs="Arial"/>
                <w:sz w:val="24"/>
                <w:szCs w:val="24"/>
              </w:rPr>
              <w:t xml:space="preserve"> – Capital Programme</w:t>
            </w:r>
            <w:r w:rsidRPr="00B37833">
              <w:rPr>
                <w:rFonts w:cs="Arial"/>
                <w:szCs w:val="24"/>
              </w:rPr>
              <w:t xml:space="preserve"> </w:t>
            </w:r>
            <w:r>
              <w:rPr>
                <w:rFonts w:cs="Arial"/>
                <w:sz w:val="24"/>
                <w:szCs w:val="24"/>
              </w:rPr>
              <w:t>2022-23</w:t>
            </w:r>
          </w:p>
          <w:p w14:paraId="4B6803D9"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3</w:t>
            </w:r>
            <w:r w:rsidRPr="00B37833">
              <w:rPr>
                <w:rFonts w:cs="Arial"/>
                <w:sz w:val="24"/>
                <w:szCs w:val="24"/>
              </w:rPr>
              <w:t xml:space="preserve"> – Trading Company Update </w:t>
            </w:r>
            <w:r>
              <w:rPr>
                <w:rFonts w:cs="Arial"/>
                <w:sz w:val="24"/>
                <w:szCs w:val="24"/>
              </w:rPr>
              <w:t>2022-23</w:t>
            </w:r>
          </w:p>
          <w:p w14:paraId="3001FCB0" w14:textId="61F305F3" w:rsidR="003C7F2F" w:rsidRPr="005E3A10" w:rsidRDefault="003C7F2F" w:rsidP="003C7F2F">
            <w:pPr>
              <w:pStyle w:val="Infotext"/>
              <w:rPr>
                <w:color w:val="FF0000"/>
                <w:sz w:val="24"/>
                <w:szCs w:val="24"/>
              </w:rPr>
            </w:pPr>
          </w:p>
        </w:tc>
      </w:tr>
    </w:tbl>
    <w:p w14:paraId="55D9F091" w14:textId="7336E61B" w:rsidR="003C7F2F" w:rsidRDefault="003C7F2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B37833" w:rsidRPr="00B37833" w14:paraId="2AD700D9" w14:textId="77777777" w:rsidTr="003C7F2F">
        <w:tc>
          <w:tcPr>
            <w:tcW w:w="9464" w:type="dxa"/>
            <w:gridSpan w:val="2"/>
            <w:tcBorders>
              <w:top w:val="nil"/>
              <w:left w:val="nil"/>
              <w:right w:val="nil"/>
            </w:tcBorders>
          </w:tcPr>
          <w:p w14:paraId="706E6613" w14:textId="77777777" w:rsidR="003C7F2F" w:rsidRDefault="003C7F2F" w:rsidP="003634DA">
            <w:pPr>
              <w:pStyle w:val="Heading1"/>
              <w:jc w:val="both"/>
            </w:pPr>
          </w:p>
          <w:p w14:paraId="2AD70D24" w14:textId="77777777" w:rsidR="003C7F2F" w:rsidRDefault="003C7F2F" w:rsidP="003634DA">
            <w:pPr>
              <w:pStyle w:val="Heading1"/>
              <w:jc w:val="both"/>
            </w:pPr>
          </w:p>
          <w:p w14:paraId="3BF05829" w14:textId="77777777" w:rsidR="003C7F2F" w:rsidRDefault="003C7F2F" w:rsidP="003634DA">
            <w:pPr>
              <w:pStyle w:val="Heading1"/>
              <w:jc w:val="both"/>
            </w:pPr>
          </w:p>
          <w:p w14:paraId="6D0B6979" w14:textId="77777777" w:rsidR="003C7F2F" w:rsidRDefault="003C7F2F" w:rsidP="003634DA">
            <w:pPr>
              <w:pStyle w:val="Heading1"/>
              <w:jc w:val="both"/>
            </w:pPr>
          </w:p>
          <w:p w14:paraId="73C3BA44" w14:textId="77777777" w:rsidR="003C7F2F" w:rsidRDefault="003C7F2F" w:rsidP="003634DA">
            <w:pPr>
              <w:pStyle w:val="Heading1"/>
              <w:jc w:val="both"/>
            </w:pPr>
          </w:p>
          <w:p w14:paraId="0BE3D0D3" w14:textId="77777777" w:rsidR="003C7F2F" w:rsidRDefault="003C7F2F" w:rsidP="003634DA">
            <w:pPr>
              <w:pStyle w:val="Heading1"/>
              <w:jc w:val="both"/>
            </w:pPr>
          </w:p>
          <w:p w14:paraId="47D0DA9D" w14:textId="77777777" w:rsidR="003C7F2F" w:rsidRDefault="003C7F2F" w:rsidP="003634DA">
            <w:pPr>
              <w:pStyle w:val="Heading1"/>
              <w:jc w:val="both"/>
            </w:pPr>
          </w:p>
          <w:p w14:paraId="16DD5532" w14:textId="77777777" w:rsidR="003C7F2F" w:rsidRDefault="003C7F2F" w:rsidP="003634DA">
            <w:pPr>
              <w:pStyle w:val="Heading1"/>
              <w:jc w:val="both"/>
            </w:pPr>
          </w:p>
          <w:p w14:paraId="3BA25D34" w14:textId="77777777" w:rsidR="003C7F2F" w:rsidRDefault="003C7F2F" w:rsidP="003634DA">
            <w:pPr>
              <w:pStyle w:val="Heading1"/>
              <w:jc w:val="both"/>
            </w:pPr>
          </w:p>
          <w:p w14:paraId="12C8F747" w14:textId="77777777" w:rsidR="003C7F2F" w:rsidRDefault="003C7F2F" w:rsidP="003634DA">
            <w:pPr>
              <w:pStyle w:val="Heading1"/>
              <w:jc w:val="both"/>
            </w:pPr>
          </w:p>
          <w:p w14:paraId="4E6A3993" w14:textId="5EDE5753" w:rsidR="00333FAA" w:rsidRPr="00B37833" w:rsidRDefault="00333FAA" w:rsidP="003634DA">
            <w:pPr>
              <w:pStyle w:val="Heading1"/>
              <w:jc w:val="both"/>
            </w:pPr>
            <w:r w:rsidRPr="00B37833">
              <w:lastRenderedPageBreak/>
              <w:t>Section 1 – Summary and Recommendations</w:t>
            </w:r>
          </w:p>
          <w:p w14:paraId="5C2FA4ED" w14:textId="77777777" w:rsidR="00333FAA" w:rsidRPr="00B37833" w:rsidRDefault="00333FAA" w:rsidP="003634DA">
            <w:pPr>
              <w:jc w:val="both"/>
              <w:rPr>
                <w:color w:val="FF0000"/>
              </w:rPr>
            </w:pPr>
          </w:p>
        </w:tc>
      </w:tr>
      <w:tr w:rsidR="00333FAA" w:rsidRPr="00900357" w14:paraId="1FB28782" w14:textId="77777777" w:rsidTr="003C7F2F">
        <w:trPr>
          <w:gridBefore w:val="1"/>
          <w:wBefore w:w="142" w:type="dxa"/>
        </w:trPr>
        <w:tc>
          <w:tcPr>
            <w:tcW w:w="9322" w:type="dxa"/>
          </w:tcPr>
          <w:p w14:paraId="15485C20" w14:textId="60F06C04" w:rsidR="00315406" w:rsidRPr="00B37833" w:rsidRDefault="00315406" w:rsidP="003634DA">
            <w:pPr>
              <w:pStyle w:val="ListParagraph"/>
              <w:jc w:val="both"/>
              <w:rPr>
                <w:color w:val="FF0000"/>
              </w:rPr>
            </w:pPr>
          </w:p>
          <w:p w14:paraId="1403028E" w14:textId="1E73DAA5" w:rsidR="00F505C5" w:rsidRPr="00900357" w:rsidRDefault="00F505C5" w:rsidP="003634DA">
            <w:pPr>
              <w:jc w:val="both"/>
              <w:rPr>
                <w:bCs/>
              </w:rPr>
            </w:pPr>
            <w:r w:rsidRPr="00900357">
              <w:t xml:space="preserve">This report sets out the Council’s </w:t>
            </w:r>
            <w:r w:rsidR="006C5584" w:rsidRPr="00900357">
              <w:t xml:space="preserve">projected </w:t>
            </w:r>
            <w:r w:rsidR="00825082" w:rsidRPr="00900357">
              <w:t xml:space="preserve">revenue and capital outturn position for </w:t>
            </w:r>
            <w:r w:rsidR="006C5584" w:rsidRPr="00900357">
              <w:t>2022-</w:t>
            </w:r>
            <w:r w:rsidR="00930F7A" w:rsidRPr="00900357">
              <w:t>23, based</w:t>
            </w:r>
            <w:r w:rsidR="00174142" w:rsidRPr="00900357">
              <w:t xml:space="preserve"> on all information known </w:t>
            </w:r>
            <w:r w:rsidR="006C5584" w:rsidRPr="00900357">
              <w:t>at the end of Q</w:t>
            </w:r>
            <w:r w:rsidR="005933AB" w:rsidRPr="00900357">
              <w:t>2</w:t>
            </w:r>
            <w:r w:rsidR="005716B1" w:rsidRPr="00900357">
              <w:t xml:space="preserve"> 30</w:t>
            </w:r>
            <w:r w:rsidR="006C5584" w:rsidRPr="00900357">
              <w:t xml:space="preserve"> </w:t>
            </w:r>
            <w:r w:rsidR="005933AB" w:rsidRPr="00900357">
              <w:t>September</w:t>
            </w:r>
            <w:r w:rsidR="006C5584" w:rsidRPr="00900357">
              <w:t xml:space="preserve"> 2022.</w:t>
            </w:r>
            <w:r w:rsidR="00B11849" w:rsidRPr="00900357">
              <w:rPr>
                <w:bCs/>
              </w:rPr>
              <w:t xml:space="preserve"> </w:t>
            </w:r>
          </w:p>
          <w:p w14:paraId="5285CDA3" w14:textId="77777777" w:rsidR="00F505C5" w:rsidRPr="00900357" w:rsidRDefault="00F505C5" w:rsidP="003634DA">
            <w:pPr>
              <w:jc w:val="both"/>
              <w:rPr>
                <w:b/>
                <w:bCs/>
                <w:u w:val="single"/>
              </w:rPr>
            </w:pPr>
          </w:p>
          <w:p w14:paraId="722ECE10" w14:textId="77777777" w:rsidR="00F505C5" w:rsidRPr="00900357" w:rsidRDefault="00F505C5" w:rsidP="003634DA">
            <w:pPr>
              <w:jc w:val="both"/>
              <w:rPr>
                <w:b/>
                <w:bCs/>
                <w:sz w:val="28"/>
                <w:szCs w:val="22"/>
              </w:rPr>
            </w:pPr>
            <w:r w:rsidRPr="00900357">
              <w:rPr>
                <w:b/>
                <w:bCs/>
                <w:sz w:val="28"/>
                <w:szCs w:val="22"/>
              </w:rPr>
              <w:t xml:space="preserve">Recommendations: </w:t>
            </w:r>
          </w:p>
          <w:p w14:paraId="08A43294" w14:textId="77777777" w:rsidR="00F505C5" w:rsidRPr="00900357" w:rsidRDefault="00F505C5" w:rsidP="003634DA">
            <w:pPr>
              <w:jc w:val="both"/>
            </w:pPr>
          </w:p>
          <w:p w14:paraId="4DD0010F" w14:textId="5CD5BFEC" w:rsidR="00E81EEA" w:rsidRPr="00900357" w:rsidRDefault="00F505C5" w:rsidP="00AF06B3">
            <w:pPr>
              <w:numPr>
                <w:ilvl w:val="0"/>
                <w:numId w:val="3"/>
              </w:numPr>
              <w:jc w:val="both"/>
            </w:pPr>
            <w:r w:rsidRPr="00900357">
              <w:t xml:space="preserve">That Cabinet notes the revenue and capital </w:t>
            </w:r>
            <w:r w:rsidR="00825082" w:rsidRPr="00900357">
              <w:t>outturn</w:t>
            </w:r>
            <w:r w:rsidRPr="00900357">
              <w:t xml:space="preserve"> positions set out </w:t>
            </w:r>
            <w:r w:rsidR="00517C7D" w:rsidRPr="00900357">
              <w:t>in</w:t>
            </w:r>
            <w:r w:rsidRPr="00900357">
              <w:t xml:space="preserve"> paragraph</w:t>
            </w:r>
            <w:r w:rsidR="00517C7D" w:rsidRPr="00900357">
              <w:t>s</w:t>
            </w:r>
            <w:r w:rsidR="0008678F" w:rsidRPr="00900357">
              <w:t xml:space="preserve"> 1.</w:t>
            </w:r>
            <w:r w:rsidR="00E82957" w:rsidRPr="00900357">
              <w:t>2</w:t>
            </w:r>
            <w:r w:rsidR="00CF1E61" w:rsidRPr="00900357">
              <w:t xml:space="preserve"> </w:t>
            </w:r>
            <w:r w:rsidR="004052E3" w:rsidRPr="00900357">
              <w:t>to 1.4</w:t>
            </w:r>
            <w:r w:rsidR="000860A6" w:rsidRPr="00900357">
              <w:t>.</w:t>
            </w:r>
          </w:p>
          <w:p w14:paraId="0F3098EE" w14:textId="77777777" w:rsidR="002E0F2C" w:rsidRPr="00900357" w:rsidRDefault="002E0F2C" w:rsidP="002E0F2C">
            <w:pPr>
              <w:ind w:left="720"/>
              <w:jc w:val="both"/>
            </w:pPr>
          </w:p>
          <w:p w14:paraId="24CA1253" w14:textId="5C400013" w:rsidR="002E0F2C" w:rsidRPr="00900357" w:rsidRDefault="002E0F2C" w:rsidP="00AF06B3">
            <w:pPr>
              <w:numPr>
                <w:ilvl w:val="0"/>
                <w:numId w:val="3"/>
              </w:numPr>
              <w:jc w:val="both"/>
            </w:pPr>
            <w:r w:rsidRPr="00900357">
              <w:t xml:space="preserve">That Cabinet approve the proposed additions and amendments to the Capital Programme as set out in paragraphs </w:t>
            </w:r>
            <w:r w:rsidR="00E54211" w:rsidRPr="00900357">
              <w:t>3.3</w:t>
            </w:r>
            <w:r w:rsidR="00E16D65" w:rsidRPr="00900357">
              <w:t>0</w:t>
            </w:r>
            <w:r w:rsidR="00E54211" w:rsidRPr="00900357">
              <w:t xml:space="preserve"> to 3.3</w:t>
            </w:r>
            <w:r w:rsidR="00E16D65" w:rsidRPr="00900357">
              <w:t>1</w:t>
            </w:r>
          </w:p>
          <w:p w14:paraId="2F90CFE3" w14:textId="77777777" w:rsidR="00E81EEA" w:rsidRPr="00900357" w:rsidRDefault="00E81EEA" w:rsidP="00E81EEA">
            <w:pPr>
              <w:ind w:left="720"/>
              <w:jc w:val="both"/>
            </w:pPr>
          </w:p>
          <w:p w14:paraId="4DD335B3" w14:textId="3CECBD8A" w:rsidR="006A34C3" w:rsidRPr="00900357" w:rsidRDefault="000D66AA" w:rsidP="00787709">
            <w:pPr>
              <w:numPr>
                <w:ilvl w:val="0"/>
                <w:numId w:val="3"/>
              </w:numPr>
              <w:jc w:val="both"/>
            </w:pPr>
            <w:r w:rsidRPr="00900357">
              <w:t xml:space="preserve">That Cabinet note </w:t>
            </w:r>
            <w:r w:rsidR="00825082" w:rsidRPr="00900357">
              <w:t>the</w:t>
            </w:r>
            <w:r w:rsidRPr="00900357">
              <w:t xml:space="preserve"> Council’s Trading Update as detailed in Appendix </w:t>
            </w:r>
            <w:r w:rsidR="006C5584" w:rsidRPr="00900357">
              <w:t>3</w:t>
            </w:r>
            <w:r w:rsidRPr="00900357">
              <w:t>.</w:t>
            </w:r>
          </w:p>
          <w:p w14:paraId="1185CA1D" w14:textId="77777777" w:rsidR="00787709" w:rsidRPr="00900357" w:rsidRDefault="00787709" w:rsidP="00787709">
            <w:pPr>
              <w:pStyle w:val="ListParagraph"/>
            </w:pPr>
          </w:p>
          <w:p w14:paraId="574D5C1A" w14:textId="40785AD6" w:rsidR="006A34C3" w:rsidRPr="00900357" w:rsidRDefault="006A34C3" w:rsidP="00787709">
            <w:pPr>
              <w:numPr>
                <w:ilvl w:val="0"/>
                <w:numId w:val="3"/>
              </w:numPr>
              <w:jc w:val="both"/>
            </w:pPr>
            <w:r w:rsidRPr="00900357">
              <w:t xml:space="preserve">That Cabinet approves </w:t>
            </w:r>
            <w:r w:rsidR="00B762E9" w:rsidRPr="00900357">
              <w:t>an</w:t>
            </w:r>
            <w:r w:rsidRPr="00900357">
              <w:t xml:space="preserve"> extension of the contract between the Council and Sancroft Community Care Limited for a period of up to 2 years. The extension will commence on </w:t>
            </w:r>
            <w:r w:rsidR="00787709" w:rsidRPr="00900357">
              <w:t xml:space="preserve">8 </w:t>
            </w:r>
            <w:r w:rsidRPr="00900357">
              <w:t xml:space="preserve">February 2023 and continue for a period no longer than up to </w:t>
            </w:r>
            <w:r w:rsidR="00787709" w:rsidRPr="00900357">
              <w:t>7</w:t>
            </w:r>
            <w:r w:rsidRPr="00900357">
              <w:t xml:space="preserve"> February 2025.</w:t>
            </w:r>
          </w:p>
          <w:p w14:paraId="33048BAE" w14:textId="77777777" w:rsidR="00B37833" w:rsidRPr="00900357" w:rsidRDefault="00B37833" w:rsidP="00B37833">
            <w:pPr>
              <w:pStyle w:val="ListParagraph"/>
            </w:pPr>
          </w:p>
          <w:p w14:paraId="2C813DBD" w14:textId="77777777" w:rsidR="005641E0" w:rsidRPr="00900357" w:rsidRDefault="001C7E35" w:rsidP="003634DA">
            <w:pPr>
              <w:pStyle w:val="Heading2"/>
              <w:jc w:val="both"/>
            </w:pPr>
            <w:r w:rsidRPr="00900357">
              <w:t>Reason:  (For recommendation</w:t>
            </w:r>
            <w:r w:rsidR="00714BEE" w:rsidRPr="00900357">
              <w:t>s</w:t>
            </w:r>
            <w:r w:rsidRPr="00900357">
              <w:t>)</w:t>
            </w:r>
            <w:r w:rsidR="00312B7A" w:rsidRPr="00900357">
              <w:t xml:space="preserve"> </w:t>
            </w:r>
          </w:p>
          <w:p w14:paraId="752A3DF8" w14:textId="4C547EA0" w:rsidR="00F505C5" w:rsidRPr="00900357" w:rsidRDefault="00F505C5" w:rsidP="003634DA">
            <w:pPr>
              <w:jc w:val="both"/>
            </w:pPr>
            <w:r w:rsidRPr="00900357">
              <w:t xml:space="preserve">To report the </w:t>
            </w:r>
            <w:r w:rsidR="006C5584" w:rsidRPr="00900357">
              <w:t>2022-23</w:t>
            </w:r>
            <w:r w:rsidRPr="00900357">
              <w:t xml:space="preserve"> financial </w:t>
            </w:r>
            <w:r w:rsidR="006C5584" w:rsidRPr="00900357">
              <w:t xml:space="preserve">forecast </w:t>
            </w:r>
            <w:r w:rsidRPr="00900357">
              <w:t>position</w:t>
            </w:r>
            <w:r w:rsidR="006C5584" w:rsidRPr="00900357">
              <w:t xml:space="preserve"> at Q</w:t>
            </w:r>
            <w:r w:rsidR="005933AB" w:rsidRPr="00900357">
              <w:t>2</w:t>
            </w:r>
            <w:r w:rsidR="00825082" w:rsidRPr="00900357">
              <w:t xml:space="preserve"> and </w:t>
            </w:r>
            <w:r w:rsidR="00381A1C" w:rsidRPr="00900357">
              <w:t xml:space="preserve">to update Cabinet on </w:t>
            </w:r>
            <w:r w:rsidR="00070FDB" w:rsidRPr="00900357">
              <w:t>t</w:t>
            </w:r>
            <w:r w:rsidR="00381A1C" w:rsidRPr="00900357">
              <w:t xml:space="preserve">rading </w:t>
            </w:r>
            <w:r w:rsidR="00D71F49" w:rsidRPr="00900357">
              <w:t xml:space="preserve">company </w:t>
            </w:r>
            <w:r w:rsidR="00381A1C" w:rsidRPr="00900357">
              <w:t>performance</w:t>
            </w:r>
            <w:r w:rsidR="00825082" w:rsidRPr="00900357">
              <w:t>.</w:t>
            </w:r>
          </w:p>
          <w:p w14:paraId="1D534CB5" w14:textId="77777777" w:rsidR="00333FAA" w:rsidRPr="00900357" w:rsidRDefault="00333FAA" w:rsidP="003634DA">
            <w:pPr>
              <w:pStyle w:val="Heading2"/>
              <w:jc w:val="both"/>
              <w:rPr>
                <w:color w:val="FF0000"/>
              </w:rPr>
            </w:pPr>
          </w:p>
        </w:tc>
      </w:tr>
    </w:tbl>
    <w:p w14:paraId="1F2B0944" w14:textId="77777777" w:rsidR="008940FC" w:rsidRPr="00900357" w:rsidRDefault="008940FC" w:rsidP="003634DA">
      <w:pPr>
        <w:pStyle w:val="Heading1"/>
        <w:jc w:val="both"/>
        <w:rPr>
          <w:color w:val="FF0000"/>
        </w:rPr>
      </w:pPr>
    </w:p>
    <w:p w14:paraId="3C326E6C" w14:textId="77777777" w:rsidR="00333FAA" w:rsidRPr="00900357" w:rsidRDefault="00333FAA" w:rsidP="003634DA">
      <w:pPr>
        <w:pStyle w:val="Heading1"/>
        <w:jc w:val="both"/>
      </w:pPr>
      <w:r w:rsidRPr="00900357">
        <w:t>Section 2 – Report</w:t>
      </w:r>
    </w:p>
    <w:p w14:paraId="75C2F062" w14:textId="77777777" w:rsidR="005641E0" w:rsidRPr="00900357" w:rsidRDefault="005641E0" w:rsidP="00DB648D">
      <w:pPr>
        <w:jc w:val="both"/>
        <w:rPr>
          <w:rFonts w:cs="Arial"/>
          <w:szCs w:val="24"/>
        </w:rPr>
      </w:pPr>
    </w:p>
    <w:p w14:paraId="528CE6EC" w14:textId="77777777" w:rsidR="005641E0" w:rsidRPr="00900357" w:rsidRDefault="006739F8" w:rsidP="00C75F94">
      <w:pPr>
        <w:numPr>
          <w:ilvl w:val="0"/>
          <w:numId w:val="1"/>
        </w:numPr>
        <w:tabs>
          <w:tab w:val="left" w:pos="0"/>
        </w:tabs>
        <w:ind w:left="567" w:hanging="567"/>
        <w:jc w:val="both"/>
        <w:rPr>
          <w:rFonts w:cs="Arial"/>
          <w:b/>
          <w:bCs/>
          <w:szCs w:val="24"/>
          <w:u w:val="single"/>
        </w:rPr>
      </w:pPr>
      <w:r w:rsidRPr="00900357">
        <w:rPr>
          <w:rFonts w:cs="Arial"/>
          <w:b/>
          <w:bCs/>
          <w:szCs w:val="24"/>
          <w:u w:val="single"/>
        </w:rPr>
        <w:t>INTRODUCTION</w:t>
      </w:r>
    </w:p>
    <w:p w14:paraId="59CC7CC4" w14:textId="77777777" w:rsidR="003E2127" w:rsidRPr="00900357" w:rsidRDefault="003E2127" w:rsidP="003634DA">
      <w:pPr>
        <w:ind w:left="567"/>
        <w:jc w:val="both"/>
        <w:rPr>
          <w:rFonts w:cs="Arial"/>
          <w:b/>
          <w:bCs/>
          <w:szCs w:val="24"/>
          <w:u w:val="single"/>
        </w:rPr>
      </w:pPr>
    </w:p>
    <w:p w14:paraId="4E7D25AD" w14:textId="0D5DAD79" w:rsidR="00513EC1" w:rsidRPr="00900357" w:rsidRDefault="00513EC1" w:rsidP="00825082">
      <w:pPr>
        <w:pStyle w:val="ListParagraph"/>
        <w:numPr>
          <w:ilvl w:val="0"/>
          <w:numId w:val="1"/>
        </w:numPr>
        <w:ind w:left="567" w:hanging="567"/>
        <w:contextualSpacing/>
        <w:jc w:val="both"/>
        <w:rPr>
          <w:rFonts w:cs="Arial"/>
          <w:szCs w:val="24"/>
        </w:rPr>
      </w:pPr>
      <w:r w:rsidRPr="00900357">
        <w:rPr>
          <w:rFonts w:cs="Arial"/>
          <w:szCs w:val="24"/>
        </w:rPr>
        <w:t xml:space="preserve">This is the </w:t>
      </w:r>
      <w:r w:rsidR="005933AB" w:rsidRPr="00900357">
        <w:rPr>
          <w:rFonts w:cs="Arial"/>
          <w:szCs w:val="24"/>
        </w:rPr>
        <w:t>second b</w:t>
      </w:r>
      <w:r w:rsidR="00825082" w:rsidRPr="00900357">
        <w:rPr>
          <w:rFonts w:cs="Arial"/>
          <w:szCs w:val="24"/>
        </w:rPr>
        <w:t xml:space="preserve">udget </w:t>
      </w:r>
      <w:r w:rsidR="004325F9" w:rsidRPr="00900357">
        <w:rPr>
          <w:rFonts w:cs="Arial"/>
          <w:szCs w:val="24"/>
        </w:rPr>
        <w:t>monitoring</w:t>
      </w:r>
      <w:r w:rsidRPr="00900357">
        <w:rPr>
          <w:rFonts w:cs="Arial"/>
          <w:szCs w:val="24"/>
        </w:rPr>
        <w:t xml:space="preserve"> report for </w:t>
      </w:r>
      <w:r w:rsidR="006C5584" w:rsidRPr="00900357">
        <w:rPr>
          <w:rFonts w:cs="Arial"/>
          <w:szCs w:val="24"/>
        </w:rPr>
        <w:t>2022-23</w:t>
      </w:r>
      <w:r w:rsidRPr="00900357">
        <w:rPr>
          <w:rFonts w:cs="Arial"/>
          <w:szCs w:val="24"/>
        </w:rPr>
        <w:t xml:space="preserve">.  </w:t>
      </w:r>
    </w:p>
    <w:p w14:paraId="16E3B1D3" w14:textId="77777777" w:rsidR="00825082" w:rsidRPr="00900357" w:rsidRDefault="00825082" w:rsidP="00825082">
      <w:pPr>
        <w:contextualSpacing/>
        <w:jc w:val="both"/>
        <w:rPr>
          <w:rFonts w:cs="Arial"/>
          <w:szCs w:val="24"/>
        </w:rPr>
      </w:pPr>
    </w:p>
    <w:p w14:paraId="350C2E92" w14:textId="062DFACA" w:rsidR="003B40B3" w:rsidRPr="00900357" w:rsidRDefault="006C5584" w:rsidP="00322E03">
      <w:pPr>
        <w:pStyle w:val="ListParagraph"/>
        <w:numPr>
          <w:ilvl w:val="0"/>
          <w:numId w:val="1"/>
        </w:numPr>
        <w:ind w:left="567" w:hanging="567"/>
        <w:contextualSpacing/>
        <w:jc w:val="both"/>
        <w:rPr>
          <w:rFonts w:cs="Arial"/>
          <w:bCs/>
          <w:szCs w:val="24"/>
        </w:rPr>
      </w:pPr>
      <w:r w:rsidRPr="00900357">
        <w:rPr>
          <w:rFonts w:cs="Arial"/>
          <w:szCs w:val="24"/>
        </w:rPr>
        <w:t>The revenue budget in 2022-23 at Q</w:t>
      </w:r>
      <w:r w:rsidR="005933AB" w:rsidRPr="00900357">
        <w:rPr>
          <w:rFonts w:cs="Arial"/>
          <w:szCs w:val="24"/>
        </w:rPr>
        <w:t>2</w:t>
      </w:r>
      <w:r w:rsidRPr="00900357">
        <w:rPr>
          <w:rFonts w:cs="Arial"/>
          <w:szCs w:val="24"/>
        </w:rPr>
        <w:t xml:space="preserve"> is £183.28</w:t>
      </w:r>
      <w:r w:rsidR="005716B1" w:rsidRPr="00900357">
        <w:rPr>
          <w:rFonts w:cs="Arial"/>
          <w:szCs w:val="24"/>
        </w:rPr>
        <w:t>5</w:t>
      </w:r>
      <w:r w:rsidRPr="00900357">
        <w:rPr>
          <w:rFonts w:cs="Arial"/>
          <w:szCs w:val="24"/>
        </w:rPr>
        <w:t xml:space="preserve">m which is net of government and other specific grants. A list of external grants is shown at Appendix 1. </w:t>
      </w:r>
      <w:r w:rsidR="00A50427" w:rsidRPr="00900357">
        <w:rPr>
          <w:rFonts w:cs="Arial"/>
          <w:szCs w:val="24"/>
        </w:rPr>
        <w:t xml:space="preserve">The </w:t>
      </w:r>
      <w:r w:rsidRPr="00900357">
        <w:rPr>
          <w:rFonts w:cs="Arial"/>
          <w:szCs w:val="24"/>
        </w:rPr>
        <w:t xml:space="preserve">net forecast position on the </w:t>
      </w:r>
      <w:r w:rsidR="00825082" w:rsidRPr="00900357">
        <w:rPr>
          <w:rFonts w:cs="Arial"/>
          <w:szCs w:val="24"/>
        </w:rPr>
        <w:t xml:space="preserve">revenue budget for </w:t>
      </w:r>
      <w:r w:rsidRPr="00900357">
        <w:rPr>
          <w:rFonts w:cs="Arial"/>
          <w:szCs w:val="24"/>
        </w:rPr>
        <w:t>2022-23</w:t>
      </w:r>
      <w:r w:rsidR="00AE7033" w:rsidRPr="00900357">
        <w:rPr>
          <w:rFonts w:cs="Arial"/>
          <w:szCs w:val="24"/>
        </w:rPr>
        <w:t xml:space="preserve">, </w:t>
      </w:r>
      <w:r w:rsidR="00A50427" w:rsidRPr="00900357">
        <w:rPr>
          <w:rFonts w:cs="Arial"/>
          <w:szCs w:val="24"/>
        </w:rPr>
        <w:t xml:space="preserve">after </w:t>
      </w:r>
      <w:r w:rsidR="00787709" w:rsidRPr="00900357">
        <w:rPr>
          <w:rFonts w:cs="Arial"/>
          <w:szCs w:val="24"/>
        </w:rPr>
        <w:t>dawn down from</w:t>
      </w:r>
      <w:r w:rsidR="00A50427" w:rsidRPr="00900357">
        <w:rPr>
          <w:rFonts w:cs="Arial"/>
          <w:szCs w:val="24"/>
        </w:rPr>
        <w:t xml:space="preserve"> reserves</w:t>
      </w:r>
      <w:r w:rsidRPr="00900357">
        <w:rPr>
          <w:rFonts w:cs="Arial"/>
          <w:szCs w:val="24"/>
        </w:rPr>
        <w:t xml:space="preserve">, </w:t>
      </w:r>
      <w:r w:rsidR="00A50427" w:rsidRPr="00900357">
        <w:rPr>
          <w:rFonts w:cs="Arial"/>
          <w:szCs w:val="24"/>
        </w:rPr>
        <w:t>cross divisional adjustments</w:t>
      </w:r>
      <w:r w:rsidRPr="00900357">
        <w:rPr>
          <w:rFonts w:cs="Arial"/>
          <w:szCs w:val="24"/>
        </w:rPr>
        <w:t xml:space="preserve"> and management actions</w:t>
      </w:r>
      <w:r w:rsidR="00A50427" w:rsidRPr="00900357">
        <w:rPr>
          <w:rFonts w:cs="Arial"/>
          <w:szCs w:val="24"/>
        </w:rPr>
        <w:t xml:space="preserve"> including one-off </w:t>
      </w:r>
      <w:r w:rsidR="00B37833" w:rsidRPr="00900357">
        <w:rPr>
          <w:rFonts w:cs="Arial"/>
          <w:szCs w:val="24"/>
        </w:rPr>
        <w:t>income,</w:t>
      </w:r>
      <w:r w:rsidR="00825082" w:rsidRPr="00900357">
        <w:rPr>
          <w:rFonts w:cs="Arial"/>
          <w:szCs w:val="24"/>
        </w:rPr>
        <w:t xml:space="preserve"> is </w:t>
      </w:r>
      <w:r w:rsidR="00E971A9" w:rsidRPr="00900357">
        <w:rPr>
          <w:rFonts w:cs="Arial"/>
          <w:szCs w:val="24"/>
        </w:rPr>
        <w:t>a net overspend of £</w:t>
      </w:r>
      <w:r w:rsidR="00787709" w:rsidRPr="00900357">
        <w:rPr>
          <w:rFonts w:cs="Arial"/>
          <w:szCs w:val="24"/>
        </w:rPr>
        <w:t>11.513m</w:t>
      </w:r>
      <w:r w:rsidR="00E971A9" w:rsidRPr="00900357">
        <w:rPr>
          <w:rFonts w:cs="Arial"/>
          <w:szCs w:val="24"/>
        </w:rPr>
        <w:t>.</w:t>
      </w:r>
      <w:r w:rsidR="00174142" w:rsidRPr="00900357">
        <w:rPr>
          <w:rFonts w:cs="Arial"/>
          <w:szCs w:val="24"/>
        </w:rPr>
        <w:t xml:space="preserve"> </w:t>
      </w:r>
    </w:p>
    <w:p w14:paraId="31CDE5AE" w14:textId="77777777" w:rsidR="005933AB" w:rsidRPr="00900357" w:rsidRDefault="005933AB" w:rsidP="005933AB">
      <w:pPr>
        <w:pStyle w:val="ListParagraph"/>
        <w:ind w:left="567"/>
        <w:contextualSpacing/>
        <w:jc w:val="both"/>
        <w:rPr>
          <w:rFonts w:cs="Arial"/>
          <w:bCs/>
          <w:color w:val="FF0000"/>
          <w:szCs w:val="24"/>
        </w:rPr>
      </w:pPr>
    </w:p>
    <w:p w14:paraId="3EFFD8B5" w14:textId="6087C963" w:rsidR="003B40B3" w:rsidRPr="00900357" w:rsidRDefault="003B40B3" w:rsidP="00BC796C">
      <w:pPr>
        <w:pStyle w:val="ListParagraph"/>
        <w:numPr>
          <w:ilvl w:val="0"/>
          <w:numId w:val="1"/>
        </w:numPr>
        <w:ind w:left="567" w:hanging="567"/>
        <w:contextualSpacing/>
        <w:jc w:val="both"/>
        <w:rPr>
          <w:rFonts w:cs="Arial"/>
          <w:bCs/>
          <w:szCs w:val="24"/>
        </w:rPr>
      </w:pPr>
      <w:r w:rsidRPr="00900357">
        <w:rPr>
          <w:rFonts w:cs="Arial"/>
          <w:bCs/>
          <w:szCs w:val="24"/>
        </w:rPr>
        <w:t xml:space="preserve">The </w:t>
      </w:r>
      <w:r w:rsidR="006C5584" w:rsidRPr="00900357">
        <w:rPr>
          <w:rFonts w:cs="Arial"/>
          <w:bCs/>
          <w:szCs w:val="24"/>
        </w:rPr>
        <w:t>general fund capital programme budget in 2022-23 is £</w:t>
      </w:r>
      <w:r w:rsidR="00957EA1" w:rsidRPr="00900357">
        <w:rPr>
          <w:rFonts w:cs="Arial"/>
          <w:bCs/>
          <w:szCs w:val="24"/>
        </w:rPr>
        <w:t>101.80</w:t>
      </w:r>
      <w:r w:rsidR="00E20691" w:rsidRPr="00900357">
        <w:rPr>
          <w:rFonts w:cs="Arial"/>
          <w:bCs/>
          <w:szCs w:val="24"/>
        </w:rPr>
        <w:t>8</w:t>
      </w:r>
      <w:r w:rsidR="00957EA1" w:rsidRPr="00900357">
        <w:rPr>
          <w:rFonts w:cs="Arial"/>
          <w:bCs/>
          <w:szCs w:val="24"/>
        </w:rPr>
        <w:t>m.</w:t>
      </w:r>
      <w:r w:rsidR="006C5584" w:rsidRPr="00900357">
        <w:rPr>
          <w:rFonts w:cs="Arial"/>
          <w:bCs/>
          <w:szCs w:val="24"/>
        </w:rPr>
        <w:t xml:space="preserve"> The net forecast position on the capital budget at Q</w:t>
      </w:r>
      <w:r w:rsidR="00E20691" w:rsidRPr="00900357">
        <w:rPr>
          <w:rFonts w:cs="Arial"/>
          <w:bCs/>
          <w:szCs w:val="24"/>
        </w:rPr>
        <w:t>2</w:t>
      </w:r>
      <w:r w:rsidR="006C5584" w:rsidRPr="00900357">
        <w:rPr>
          <w:rFonts w:cs="Arial"/>
          <w:bCs/>
          <w:szCs w:val="24"/>
        </w:rPr>
        <w:t xml:space="preserve"> is £</w:t>
      </w:r>
      <w:r w:rsidR="00E20691" w:rsidRPr="00900357">
        <w:rPr>
          <w:rFonts w:cs="Arial"/>
          <w:bCs/>
          <w:szCs w:val="24"/>
        </w:rPr>
        <w:t>52.724m</w:t>
      </w:r>
      <w:r w:rsidR="006C5584" w:rsidRPr="00900357">
        <w:rPr>
          <w:rFonts w:cs="Arial"/>
          <w:bCs/>
          <w:szCs w:val="24"/>
        </w:rPr>
        <w:t xml:space="preserve"> which represents </w:t>
      </w:r>
      <w:r w:rsidR="00E20691" w:rsidRPr="00900357">
        <w:rPr>
          <w:rFonts w:cs="Arial"/>
          <w:bCs/>
          <w:szCs w:val="24"/>
        </w:rPr>
        <w:t>52</w:t>
      </w:r>
      <w:r w:rsidR="006C5584" w:rsidRPr="00900357">
        <w:rPr>
          <w:rFonts w:cs="Arial"/>
          <w:bCs/>
          <w:szCs w:val="24"/>
        </w:rPr>
        <w:t>% of the total capital programme budget. The variance of £</w:t>
      </w:r>
      <w:r w:rsidR="00E20691" w:rsidRPr="00900357">
        <w:rPr>
          <w:rFonts w:cs="Arial"/>
          <w:bCs/>
          <w:szCs w:val="24"/>
        </w:rPr>
        <w:t>49.082</w:t>
      </w:r>
      <w:r w:rsidR="00957EA1" w:rsidRPr="00900357">
        <w:rPr>
          <w:rFonts w:cs="Arial"/>
          <w:bCs/>
          <w:szCs w:val="24"/>
        </w:rPr>
        <w:t xml:space="preserve">m </w:t>
      </w:r>
      <w:r w:rsidR="006C5584" w:rsidRPr="00900357">
        <w:rPr>
          <w:rFonts w:cs="Arial"/>
          <w:bCs/>
          <w:szCs w:val="24"/>
        </w:rPr>
        <w:t>is made up of slippage of £</w:t>
      </w:r>
      <w:r w:rsidR="00E20691" w:rsidRPr="00900357">
        <w:rPr>
          <w:rFonts w:cs="Arial"/>
          <w:bCs/>
          <w:szCs w:val="24"/>
        </w:rPr>
        <w:t>48.857m</w:t>
      </w:r>
      <w:r w:rsidR="006C5584" w:rsidRPr="00900357">
        <w:rPr>
          <w:rFonts w:cs="Arial"/>
          <w:bCs/>
          <w:szCs w:val="24"/>
        </w:rPr>
        <w:t xml:space="preserve"> and an underspend of £</w:t>
      </w:r>
      <w:r w:rsidR="00E20691" w:rsidRPr="00900357">
        <w:rPr>
          <w:rFonts w:cs="Arial"/>
          <w:bCs/>
          <w:szCs w:val="24"/>
        </w:rPr>
        <w:t>225k</w:t>
      </w:r>
      <w:r w:rsidR="006C5584" w:rsidRPr="00900357">
        <w:rPr>
          <w:rFonts w:cs="Arial"/>
          <w:bCs/>
          <w:szCs w:val="24"/>
        </w:rPr>
        <w:t>.</w:t>
      </w:r>
    </w:p>
    <w:p w14:paraId="0F3275F6" w14:textId="77777777" w:rsidR="006C5584" w:rsidRPr="00900357" w:rsidRDefault="006C5584" w:rsidP="006C5584">
      <w:pPr>
        <w:contextualSpacing/>
        <w:jc w:val="both"/>
        <w:rPr>
          <w:rFonts w:cs="Arial"/>
          <w:bCs/>
          <w:szCs w:val="24"/>
        </w:rPr>
      </w:pPr>
    </w:p>
    <w:p w14:paraId="5349444F" w14:textId="5445B541" w:rsidR="003B40B3" w:rsidRPr="00900357" w:rsidRDefault="006C5584" w:rsidP="003B40B3">
      <w:pPr>
        <w:pStyle w:val="ListParagraph"/>
        <w:numPr>
          <w:ilvl w:val="0"/>
          <w:numId w:val="1"/>
        </w:numPr>
        <w:ind w:left="567" w:hanging="567"/>
        <w:contextualSpacing/>
        <w:jc w:val="both"/>
        <w:rPr>
          <w:rFonts w:cs="Arial"/>
          <w:szCs w:val="24"/>
        </w:rPr>
      </w:pPr>
      <w:r w:rsidRPr="00900357">
        <w:rPr>
          <w:rFonts w:cs="Arial"/>
          <w:bCs/>
          <w:szCs w:val="24"/>
        </w:rPr>
        <w:t>The Housing Revenue Account (HRA) capital programme budget is £</w:t>
      </w:r>
      <w:r w:rsidR="00957EA1" w:rsidRPr="00900357">
        <w:rPr>
          <w:rFonts w:cs="Arial"/>
          <w:bCs/>
          <w:szCs w:val="24"/>
        </w:rPr>
        <w:t>52.446m</w:t>
      </w:r>
      <w:r w:rsidRPr="00900357">
        <w:rPr>
          <w:rFonts w:cs="Arial"/>
          <w:bCs/>
          <w:szCs w:val="24"/>
        </w:rPr>
        <w:t>. The net forecast position on the HRA capital budget at Q</w:t>
      </w:r>
      <w:r w:rsidR="00E20691" w:rsidRPr="00900357">
        <w:rPr>
          <w:rFonts w:cs="Arial"/>
          <w:bCs/>
          <w:szCs w:val="24"/>
        </w:rPr>
        <w:t>2</w:t>
      </w:r>
      <w:r w:rsidRPr="00900357">
        <w:rPr>
          <w:rFonts w:cs="Arial"/>
          <w:bCs/>
          <w:szCs w:val="24"/>
        </w:rPr>
        <w:t xml:space="preserve"> is £</w:t>
      </w:r>
      <w:r w:rsidR="00E20691" w:rsidRPr="00900357">
        <w:rPr>
          <w:rFonts w:cs="Arial"/>
          <w:bCs/>
          <w:szCs w:val="24"/>
        </w:rPr>
        <w:t>34.454m</w:t>
      </w:r>
      <w:r w:rsidR="00957EA1" w:rsidRPr="00900357">
        <w:rPr>
          <w:rFonts w:cs="Arial"/>
          <w:bCs/>
          <w:szCs w:val="24"/>
        </w:rPr>
        <w:t xml:space="preserve"> </w:t>
      </w:r>
      <w:r w:rsidRPr="00900357">
        <w:rPr>
          <w:rFonts w:cs="Arial"/>
          <w:bCs/>
          <w:szCs w:val="24"/>
        </w:rPr>
        <w:t xml:space="preserve">which </w:t>
      </w:r>
      <w:r w:rsidRPr="00900357">
        <w:rPr>
          <w:rFonts w:cs="Arial"/>
          <w:bCs/>
          <w:szCs w:val="24"/>
        </w:rPr>
        <w:lastRenderedPageBreak/>
        <w:t xml:space="preserve">represents </w:t>
      </w:r>
      <w:r w:rsidR="00E20691" w:rsidRPr="00900357">
        <w:rPr>
          <w:rFonts w:cs="Arial"/>
          <w:bCs/>
          <w:szCs w:val="24"/>
        </w:rPr>
        <w:t>66</w:t>
      </w:r>
      <w:r w:rsidRPr="00900357">
        <w:rPr>
          <w:rFonts w:cs="Arial"/>
          <w:bCs/>
          <w:szCs w:val="24"/>
        </w:rPr>
        <w:t xml:space="preserve">% of the total HRA capital </w:t>
      </w:r>
      <w:r w:rsidR="00751C64" w:rsidRPr="00900357">
        <w:rPr>
          <w:rFonts w:cs="Arial"/>
          <w:bCs/>
          <w:szCs w:val="24"/>
        </w:rPr>
        <w:t>programme</w:t>
      </w:r>
      <w:r w:rsidRPr="00900357">
        <w:rPr>
          <w:rFonts w:cs="Arial"/>
          <w:bCs/>
          <w:szCs w:val="24"/>
        </w:rPr>
        <w:t xml:space="preserve"> budget. The variance of £</w:t>
      </w:r>
      <w:r w:rsidR="00E20691" w:rsidRPr="00900357">
        <w:rPr>
          <w:rFonts w:cs="Arial"/>
          <w:bCs/>
          <w:szCs w:val="24"/>
        </w:rPr>
        <w:t>17.991m</w:t>
      </w:r>
      <w:r w:rsidRPr="00900357">
        <w:rPr>
          <w:rFonts w:cs="Arial"/>
          <w:bCs/>
          <w:szCs w:val="24"/>
        </w:rPr>
        <w:t xml:space="preserve"> is made up of slippage of £</w:t>
      </w:r>
      <w:r w:rsidR="00E20691" w:rsidRPr="00900357">
        <w:rPr>
          <w:rFonts w:cs="Arial"/>
          <w:bCs/>
          <w:szCs w:val="24"/>
        </w:rPr>
        <w:t>13.880m</w:t>
      </w:r>
      <w:r w:rsidRPr="00900357">
        <w:rPr>
          <w:rFonts w:cs="Arial"/>
          <w:bCs/>
          <w:szCs w:val="24"/>
        </w:rPr>
        <w:t xml:space="preserve"> and a net underspend of £</w:t>
      </w:r>
      <w:r w:rsidR="00E1686D" w:rsidRPr="00900357">
        <w:rPr>
          <w:rFonts w:cs="Arial"/>
          <w:bCs/>
          <w:szCs w:val="24"/>
        </w:rPr>
        <w:t>4.</w:t>
      </w:r>
      <w:r w:rsidR="00E20691" w:rsidRPr="00900357">
        <w:rPr>
          <w:rFonts w:cs="Arial"/>
          <w:bCs/>
          <w:szCs w:val="24"/>
        </w:rPr>
        <w:t>111</w:t>
      </w:r>
      <w:r w:rsidR="00E1686D" w:rsidRPr="00900357">
        <w:rPr>
          <w:rFonts w:cs="Arial"/>
          <w:bCs/>
          <w:szCs w:val="24"/>
        </w:rPr>
        <w:t>m</w:t>
      </w:r>
      <w:r w:rsidR="004052E3" w:rsidRPr="00900357">
        <w:rPr>
          <w:rFonts w:cs="Arial"/>
          <w:bCs/>
          <w:szCs w:val="24"/>
        </w:rPr>
        <w:t>.</w:t>
      </w:r>
    </w:p>
    <w:p w14:paraId="5972DD17" w14:textId="1E585FA6" w:rsidR="00EE2675" w:rsidRPr="00900357" w:rsidRDefault="00EE2675" w:rsidP="00487CDB">
      <w:pPr>
        <w:pStyle w:val="ListParagraph"/>
        <w:spacing w:after="120"/>
        <w:ind w:left="689" w:right="306"/>
        <w:contextualSpacing/>
        <w:jc w:val="both"/>
        <w:rPr>
          <w:rFonts w:cs="Arial"/>
          <w:color w:val="FF0000"/>
          <w:szCs w:val="24"/>
        </w:rPr>
      </w:pPr>
    </w:p>
    <w:p w14:paraId="3F5A1369" w14:textId="7DA76E25" w:rsidR="003C7F2F" w:rsidRPr="00900357" w:rsidRDefault="003C7F2F" w:rsidP="00487CDB">
      <w:pPr>
        <w:pStyle w:val="ListParagraph"/>
        <w:spacing w:after="120"/>
        <w:ind w:left="689" w:right="306"/>
        <w:contextualSpacing/>
        <w:jc w:val="both"/>
        <w:rPr>
          <w:rFonts w:cs="Arial"/>
          <w:color w:val="FF0000"/>
          <w:szCs w:val="24"/>
        </w:rPr>
      </w:pPr>
    </w:p>
    <w:p w14:paraId="7360CF00" w14:textId="77777777" w:rsidR="005475D3" w:rsidRPr="00900357" w:rsidRDefault="00472810" w:rsidP="00AF06B3">
      <w:pPr>
        <w:pStyle w:val="ListParagraph"/>
        <w:numPr>
          <w:ilvl w:val="0"/>
          <w:numId w:val="4"/>
        </w:numPr>
        <w:ind w:left="567" w:hanging="567"/>
        <w:jc w:val="both"/>
        <w:rPr>
          <w:rFonts w:cs="Arial"/>
          <w:b/>
          <w:szCs w:val="24"/>
          <w:u w:val="single"/>
        </w:rPr>
      </w:pPr>
      <w:r w:rsidRPr="00900357">
        <w:rPr>
          <w:rFonts w:cs="Arial"/>
          <w:b/>
          <w:szCs w:val="24"/>
          <w:u w:val="single"/>
        </w:rPr>
        <w:t>REVENUE MONITORING</w:t>
      </w:r>
    </w:p>
    <w:p w14:paraId="5DC5A216" w14:textId="77777777" w:rsidR="005475D3" w:rsidRPr="00900357" w:rsidRDefault="005475D3" w:rsidP="005475D3">
      <w:pPr>
        <w:pStyle w:val="ListParagraph"/>
        <w:ind w:left="567"/>
        <w:jc w:val="both"/>
        <w:rPr>
          <w:rFonts w:cs="Arial"/>
          <w:b/>
          <w:szCs w:val="24"/>
          <w:u w:val="single"/>
        </w:rPr>
      </w:pPr>
    </w:p>
    <w:p w14:paraId="39878D64" w14:textId="77777777" w:rsidR="00787709" w:rsidRPr="00900357" w:rsidRDefault="00E971A9" w:rsidP="00787709">
      <w:pPr>
        <w:pStyle w:val="ListParagraph"/>
        <w:numPr>
          <w:ilvl w:val="1"/>
          <w:numId w:val="26"/>
        </w:numPr>
        <w:ind w:left="567" w:hanging="567"/>
        <w:contextualSpacing/>
        <w:jc w:val="both"/>
        <w:rPr>
          <w:rFonts w:cs="Arial"/>
          <w:szCs w:val="24"/>
        </w:rPr>
      </w:pPr>
      <w:r w:rsidRPr="00900357">
        <w:rPr>
          <w:rFonts w:cs="Arial"/>
          <w:bCs/>
          <w:szCs w:val="24"/>
        </w:rPr>
        <w:t>As at Q</w:t>
      </w:r>
      <w:r w:rsidR="005933AB" w:rsidRPr="00900357">
        <w:rPr>
          <w:rFonts w:cs="Arial"/>
          <w:bCs/>
          <w:szCs w:val="24"/>
        </w:rPr>
        <w:t>2</w:t>
      </w:r>
      <w:r w:rsidRPr="00900357">
        <w:rPr>
          <w:rFonts w:cs="Arial"/>
          <w:bCs/>
          <w:szCs w:val="24"/>
        </w:rPr>
        <w:t xml:space="preserve"> the forecast revenue budget outturn </w:t>
      </w:r>
      <w:r w:rsidR="00AD3D28" w:rsidRPr="00900357">
        <w:rPr>
          <w:rFonts w:cs="Arial"/>
          <w:szCs w:val="24"/>
        </w:rPr>
        <w:t>after</w:t>
      </w:r>
      <w:r w:rsidR="00787709" w:rsidRPr="00900357">
        <w:rPr>
          <w:rFonts w:cs="Arial"/>
          <w:szCs w:val="24"/>
        </w:rPr>
        <w:t xml:space="preserve"> </w:t>
      </w:r>
      <w:r w:rsidRPr="00900357">
        <w:rPr>
          <w:rFonts w:cs="Arial"/>
          <w:szCs w:val="24"/>
        </w:rPr>
        <w:t xml:space="preserve">cross divisional adjustments and management actions including one-off income, is a net overspend of </w:t>
      </w:r>
      <w:r w:rsidR="00AD3D28" w:rsidRPr="00900357">
        <w:rPr>
          <w:rFonts w:cs="Arial"/>
          <w:szCs w:val="24"/>
        </w:rPr>
        <w:t>£11.</w:t>
      </w:r>
      <w:r w:rsidR="00787709" w:rsidRPr="00900357">
        <w:rPr>
          <w:rFonts w:cs="Arial"/>
          <w:szCs w:val="24"/>
        </w:rPr>
        <w:t>513</w:t>
      </w:r>
      <w:r w:rsidR="00AD3D28" w:rsidRPr="00900357">
        <w:rPr>
          <w:rFonts w:cs="Arial"/>
          <w:szCs w:val="24"/>
        </w:rPr>
        <w:t>m. The Q</w:t>
      </w:r>
      <w:r w:rsidR="00787709" w:rsidRPr="00900357">
        <w:rPr>
          <w:rFonts w:cs="Arial"/>
          <w:szCs w:val="24"/>
        </w:rPr>
        <w:t xml:space="preserve">1 </w:t>
      </w:r>
      <w:r w:rsidR="00AD3D28" w:rsidRPr="00900357">
        <w:rPr>
          <w:rFonts w:cs="Arial"/>
          <w:szCs w:val="24"/>
        </w:rPr>
        <w:t>variance of £5.721m assumed the planned drawn from the MTFS Budget Planning reserve of £14.7</w:t>
      </w:r>
      <w:r w:rsidR="00787709" w:rsidRPr="00900357">
        <w:rPr>
          <w:rFonts w:cs="Arial"/>
          <w:szCs w:val="24"/>
        </w:rPr>
        <w:t>11</w:t>
      </w:r>
      <w:r w:rsidR="00AD3D28" w:rsidRPr="00900357">
        <w:rPr>
          <w:rFonts w:cs="Arial"/>
          <w:szCs w:val="24"/>
        </w:rPr>
        <w:t xml:space="preserve">m.  </w:t>
      </w:r>
    </w:p>
    <w:p w14:paraId="06B73F17" w14:textId="77777777" w:rsidR="00787709" w:rsidRPr="00900357" w:rsidRDefault="00787709" w:rsidP="00787709">
      <w:pPr>
        <w:pStyle w:val="ListParagraph"/>
        <w:ind w:left="567" w:hanging="567"/>
        <w:contextualSpacing/>
        <w:jc w:val="both"/>
        <w:rPr>
          <w:rFonts w:cs="Arial"/>
          <w:szCs w:val="24"/>
        </w:rPr>
      </w:pPr>
    </w:p>
    <w:p w14:paraId="55E67AA3" w14:textId="45262E9E" w:rsidR="00787709" w:rsidRPr="00900357" w:rsidRDefault="00AD3D28" w:rsidP="00787709">
      <w:pPr>
        <w:pStyle w:val="ListParagraph"/>
        <w:numPr>
          <w:ilvl w:val="1"/>
          <w:numId w:val="26"/>
        </w:numPr>
        <w:ind w:left="567" w:hanging="567"/>
        <w:contextualSpacing/>
        <w:jc w:val="both"/>
        <w:rPr>
          <w:rFonts w:cs="Arial"/>
          <w:szCs w:val="24"/>
        </w:rPr>
      </w:pPr>
      <w:r w:rsidRPr="00900357">
        <w:rPr>
          <w:rFonts w:cs="Arial"/>
          <w:szCs w:val="24"/>
        </w:rPr>
        <w:t xml:space="preserve">A revised </w:t>
      </w:r>
      <w:r w:rsidR="00E96A83" w:rsidRPr="00900357">
        <w:rPr>
          <w:rFonts w:cs="Arial"/>
          <w:szCs w:val="24"/>
        </w:rPr>
        <w:t>financial</w:t>
      </w:r>
      <w:r w:rsidRPr="00900357">
        <w:rPr>
          <w:rFonts w:cs="Arial"/>
          <w:szCs w:val="24"/>
        </w:rPr>
        <w:t xml:space="preserve"> strategy is being implemented to ensure the Council manages within its budget envelope. There is more detail on this strategy included in the Draft Budget and MTFS report elsewhere on this agenda. There is the expectation </w:t>
      </w:r>
      <w:r w:rsidR="00E96A83" w:rsidRPr="00900357">
        <w:rPr>
          <w:rFonts w:cs="Arial"/>
          <w:szCs w:val="24"/>
        </w:rPr>
        <w:t>that the</w:t>
      </w:r>
      <w:r w:rsidR="004F22E9" w:rsidRPr="00900357">
        <w:rPr>
          <w:rFonts w:cs="Arial"/>
          <w:szCs w:val="24"/>
        </w:rPr>
        <w:t xml:space="preserve"> Q</w:t>
      </w:r>
      <w:r w:rsidR="00E96A83" w:rsidRPr="00900357">
        <w:rPr>
          <w:rFonts w:cs="Arial"/>
          <w:szCs w:val="24"/>
        </w:rPr>
        <w:t>2 forecast</w:t>
      </w:r>
      <w:r w:rsidR="004F22E9" w:rsidRPr="00900357">
        <w:rPr>
          <w:rFonts w:cs="Arial"/>
          <w:szCs w:val="24"/>
        </w:rPr>
        <w:t xml:space="preserve"> overspend of £11.</w:t>
      </w:r>
      <w:r w:rsidR="00787709" w:rsidRPr="00900357">
        <w:rPr>
          <w:rFonts w:cs="Arial"/>
          <w:szCs w:val="24"/>
        </w:rPr>
        <w:t>513</w:t>
      </w:r>
      <w:r w:rsidR="004F22E9" w:rsidRPr="00900357">
        <w:rPr>
          <w:rFonts w:cs="Arial"/>
          <w:szCs w:val="24"/>
        </w:rPr>
        <w:t xml:space="preserve">m will reduce by year end.  </w:t>
      </w:r>
    </w:p>
    <w:p w14:paraId="05FBB0E3" w14:textId="77777777" w:rsidR="00787709" w:rsidRPr="00900357" w:rsidRDefault="00787709" w:rsidP="00787709">
      <w:pPr>
        <w:pStyle w:val="ListParagraph"/>
        <w:ind w:left="567" w:hanging="567"/>
        <w:rPr>
          <w:rFonts w:cs="Arial"/>
          <w:szCs w:val="24"/>
        </w:rPr>
      </w:pPr>
    </w:p>
    <w:p w14:paraId="41F79D0C" w14:textId="16B404CF" w:rsidR="00E971A9" w:rsidRPr="00900357" w:rsidRDefault="004F22E9" w:rsidP="00787709">
      <w:pPr>
        <w:pStyle w:val="ListParagraph"/>
        <w:numPr>
          <w:ilvl w:val="1"/>
          <w:numId w:val="26"/>
        </w:numPr>
        <w:ind w:left="567" w:hanging="567"/>
        <w:contextualSpacing/>
        <w:jc w:val="both"/>
        <w:rPr>
          <w:rFonts w:cs="Arial"/>
          <w:szCs w:val="24"/>
        </w:rPr>
      </w:pPr>
      <w:r w:rsidRPr="00900357">
        <w:rPr>
          <w:rFonts w:cs="Arial"/>
          <w:szCs w:val="24"/>
        </w:rPr>
        <w:t xml:space="preserve">Any residual balance will be funded by a draw down from the MTFS Budget Planning </w:t>
      </w:r>
      <w:r w:rsidR="00E96A83" w:rsidRPr="00900357">
        <w:rPr>
          <w:rFonts w:cs="Arial"/>
          <w:szCs w:val="24"/>
        </w:rPr>
        <w:t>Reserve,</w:t>
      </w:r>
      <w:r w:rsidRPr="00900357">
        <w:rPr>
          <w:rFonts w:cs="Arial"/>
          <w:szCs w:val="24"/>
        </w:rPr>
        <w:t xml:space="preserve"> but the residual </w:t>
      </w:r>
      <w:r w:rsidR="00A8468F" w:rsidRPr="00900357">
        <w:rPr>
          <w:rFonts w:cs="Arial"/>
          <w:szCs w:val="24"/>
        </w:rPr>
        <w:t xml:space="preserve">is expected to </w:t>
      </w:r>
      <w:r w:rsidRPr="00900357">
        <w:rPr>
          <w:rFonts w:cs="Arial"/>
          <w:szCs w:val="24"/>
        </w:rPr>
        <w:t>be lower than the planned £14.7</w:t>
      </w:r>
      <w:r w:rsidR="00787709" w:rsidRPr="00900357">
        <w:rPr>
          <w:rFonts w:cs="Arial"/>
          <w:szCs w:val="24"/>
        </w:rPr>
        <w:t>11</w:t>
      </w:r>
      <w:r w:rsidRPr="00900357">
        <w:rPr>
          <w:rFonts w:cs="Arial"/>
          <w:szCs w:val="24"/>
        </w:rPr>
        <w:t xml:space="preserve">m meaning more reserves can be retained to support the Council with its </w:t>
      </w:r>
      <w:proofErr w:type="gramStart"/>
      <w:r w:rsidRPr="00900357">
        <w:rPr>
          <w:rFonts w:cs="Arial"/>
          <w:szCs w:val="24"/>
        </w:rPr>
        <w:t>medium term</w:t>
      </w:r>
      <w:proofErr w:type="gramEnd"/>
      <w:r w:rsidRPr="00900357">
        <w:rPr>
          <w:rFonts w:cs="Arial"/>
          <w:szCs w:val="24"/>
        </w:rPr>
        <w:t xml:space="preserve"> financial challenges. </w:t>
      </w:r>
      <w:r w:rsidR="00A8468F" w:rsidRPr="00900357">
        <w:rPr>
          <w:rFonts w:cs="Arial"/>
          <w:szCs w:val="24"/>
        </w:rPr>
        <w:t>There will be an impact of the current years forecast overspend into 2023/24.  The carried forward impact is estimated to be in the region of £8m to £8.5m and th</w:t>
      </w:r>
      <w:r w:rsidR="0011306A" w:rsidRPr="00900357">
        <w:rPr>
          <w:rFonts w:cs="Arial"/>
          <w:szCs w:val="24"/>
        </w:rPr>
        <w:t>is</w:t>
      </w:r>
      <w:r w:rsidR="00A8468F" w:rsidRPr="00900357">
        <w:rPr>
          <w:rFonts w:cs="Arial"/>
          <w:szCs w:val="24"/>
        </w:rPr>
        <w:t xml:space="preserve"> </w:t>
      </w:r>
      <w:r w:rsidR="0011306A" w:rsidRPr="00900357">
        <w:rPr>
          <w:rFonts w:cs="Arial"/>
          <w:szCs w:val="24"/>
        </w:rPr>
        <w:t>is</w:t>
      </w:r>
      <w:r w:rsidR="00A8468F" w:rsidRPr="00900357">
        <w:rPr>
          <w:rFonts w:cs="Arial"/>
          <w:szCs w:val="24"/>
        </w:rPr>
        <w:t xml:space="preserve"> being managed as part of the </w:t>
      </w:r>
      <w:r w:rsidR="0011306A" w:rsidRPr="00900357">
        <w:rPr>
          <w:rFonts w:cs="Arial"/>
          <w:szCs w:val="24"/>
        </w:rPr>
        <w:t xml:space="preserve">2023/24 budget setting process. </w:t>
      </w:r>
    </w:p>
    <w:p w14:paraId="52EA0561" w14:textId="5350A502" w:rsidR="005475D3" w:rsidRPr="00900357" w:rsidRDefault="005475D3" w:rsidP="006A200B">
      <w:pPr>
        <w:jc w:val="both"/>
        <w:rPr>
          <w:rFonts w:cs="Arial"/>
          <w:bCs/>
          <w:color w:val="FF0000"/>
          <w:szCs w:val="24"/>
        </w:rPr>
      </w:pPr>
    </w:p>
    <w:p w14:paraId="219378E0" w14:textId="0E14BDB6" w:rsidR="005475D3" w:rsidRPr="00900357" w:rsidRDefault="005475D3" w:rsidP="006A200B">
      <w:pPr>
        <w:jc w:val="both"/>
        <w:rPr>
          <w:rFonts w:cs="Arial"/>
          <w:bCs/>
          <w:szCs w:val="24"/>
        </w:rPr>
      </w:pPr>
    </w:p>
    <w:p w14:paraId="6F56DFA3" w14:textId="62C62838" w:rsidR="0055673A" w:rsidRPr="00B37833" w:rsidRDefault="00D122E9" w:rsidP="006A200B">
      <w:pPr>
        <w:jc w:val="both"/>
        <w:rPr>
          <w:rFonts w:cs="Arial"/>
          <w:b/>
          <w:szCs w:val="24"/>
          <w:u w:val="single"/>
        </w:rPr>
      </w:pPr>
      <w:r w:rsidRPr="00900357">
        <w:rPr>
          <w:rFonts w:cs="Arial"/>
          <w:b/>
          <w:szCs w:val="24"/>
          <w:u w:val="single"/>
        </w:rPr>
        <w:t xml:space="preserve">Table 1: Summary of Revenue Budget Monitoring – </w:t>
      </w:r>
      <w:r w:rsidR="00AE44D4" w:rsidRPr="00900357">
        <w:rPr>
          <w:rFonts w:cs="Arial"/>
          <w:b/>
          <w:szCs w:val="24"/>
          <w:u w:val="single"/>
        </w:rPr>
        <w:t>Forecast at Q</w:t>
      </w:r>
      <w:r w:rsidR="005933AB" w:rsidRPr="00900357">
        <w:rPr>
          <w:rFonts w:cs="Arial"/>
          <w:b/>
          <w:szCs w:val="24"/>
          <w:u w:val="single"/>
        </w:rPr>
        <w:t>2</w:t>
      </w:r>
      <w:r w:rsidR="00AE44D4" w:rsidRPr="00900357">
        <w:rPr>
          <w:rFonts w:cs="Arial"/>
          <w:b/>
          <w:szCs w:val="24"/>
          <w:u w:val="single"/>
        </w:rPr>
        <w:t xml:space="preserve"> </w:t>
      </w:r>
      <w:r w:rsidR="00B37833" w:rsidRPr="00900357">
        <w:rPr>
          <w:rFonts w:cs="Arial"/>
          <w:b/>
          <w:szCs w:val="24"/>
          <w:u w:val="single"/>
        </w:rPr>
        <w:t>202</w:t>
      </w:r>
      <w:r w:rsidR="00AE44D4" w:rsidRPr="00900357">
        <w:rPr>
          <w:rFonts w:cs="Arial"/>
          <w:b/>
          <w:szCs w:val="24"/>
          <w:u w:val="single"/>
        </w:rPr>
        <w:t>2</w:t>
      </w:r>
      <w:r w:rsidR="00B37833" w:rsidRPr="00900357">
        <w:rPr>
          <w:rFonts w:cs="Arial"/>
          <w:b/>
          <w:szCs w:val="24"/>
          <w:u w:val="single"/>
        </w:rPr>
        <w:t>-2</w:t>
      </w:r>
      <w:r w:rsidR="00AE44D4" w:rsidRPr="00900357">
        <w:rPr>
          <w:rFonts w:cs="Arial"/>
          <w:b/>
          <w:szCs w:val="24"/>
          <w:u w:val="single"/>
        </w:rPr>
        <w:t>3</w:t>
      </w:r>
    </w:p>
    <w:p w14:paraId="1437D7E7" w14:textId="77777777" w:rsidR="004E16FA" w:rsidRPr="00B37833" w:rsidRDefault="004E16FA" w:rsidP="006A200B">
      <w:pPr>
        <w:jc w:val="both"/>
        <w:rPr>
          <w:rFonts w:cs="Arial"/>
          <w:b/>
          <w:color w:val="FF0000"/>
          <w:szCs w:val="24"/>
          <w:u w:val="single"/>
        </w:rPr>
      </w:pPr>
    </w:p>
    <w:p w14:paraId="73517C87" w14:textId="4BC6E05A" w:rsidR="00B948C4" w:rsidRPr="00B37833" w:rsidRDefault="00787709" w:rsidP="005933AB">
      <w:pPr>
        <w:ind w:left="-851"/>
        <w:jc w:val="both"/>
        <w:rPr>
          <w:rFonts w:cs="Arial"/>
          <w:b/>
          <w:color w:val="FF0000"/>
          <w:szCs w:val="24"/>
          <w:u w:val="single"/>
        </w:rPr>
      </w:pPr>
      <w:r w:rsidRPr="00787709">
        <w:rPr>
          <w:noProof/>
        </w:rPr>
        <w:drawing>
          <wp:inline distT="0" distB="0" distL="0" distR="0" wp14:anchorId="3D63183C" wp14:editId="2C0353BA">
            <wp:extent cx="6883400" cy="2807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6461" cy="2808279"/>
                    </a:xfrm>
                    <a:prstGeom prst="rect">
                      <a:avLst/>
                    </a:prstGeom>
                    <a:noFill/>
                    <a:ln>
                      <a:noFill/>
                    </a:ln>
                  </pic:spPr>
                </pic:pic>
              </a:graphicData>
            </a:graphic>
          </wp:inline>
        </w:drawing>
      </w:r>
    </w:p>
    <w:p w14:paraId="7E26E6E1" w14:textId="77777777" w:rsidR="003C7F2F" w:rsidRDefault="003C7F2F" w:rsidP="003C7F2F">
      <w:pPr>
        <w:jc w:val="both"/>
        <w:rPr>
          <w:rFonts w:cs="Arial"/>
          <w:b/>
          <w:szCs w:val="24"/>
        </w:rPr>
      </w:pPr>
      <w:bookmarkStart w:id="0" w:name="_Hlk48039303"/>
      <w:bookmarkStart w:id="1" w:name="_Hlk54352665"/>
      <w:bookmarkStart w:id="2" w:name="_Hlk62420623"/>
    </w:p>
    <w:p w14:paraId="55E1A978" w14:textId="77777777" w:rsidR="007C279A" w:rsidRDefault="007C279A" w:rsidP="003C7F2F">
      <w:pPr>
        <w:jc w:val="both"/>
        <w:rPr>
          <w:rFonts w:cs="Arial"/>
          <w:b/>
          <w:szCs w:val="24"/>
        </w:rPr>
      </w:pPr>
    </w:p>
    <w:p w14:paraId="288DFE3D" w14:textId="77777777" w:rsidR="007C279A" w:rsidRDefault="007C279A" w:rsidP="003C7F2F">
      <w:pPr>
        <w:jc w:val="both"/>
        <w:rPr>
          <w:rFonts w:cs="Arial"/>
          <w:b/>
          <w:szCs w:val="24"/>
        </w:rPr>
      </w:pPr>
    </w:p>
    <w:p w14:paraId="611FE3EF" w14:textId="77777777" w:rsidR="007C279A" w:rsidRDefault="007C279A" w:rsidP="003C7F2F">
      <w:pPr>
        <w:jc w:val="both"/>
        <w:rPr>
          <w:rFonts w:cs="Arial"/>
          <w:b/>
          <w:szCs w:val="24"/>
        </w:rPr>
      </w:pPr>
    </w:p>
    <w:p w14:paraId="5F684027" w14:textId="77777777" w:rsidR="007C279A" w:rsidRDefault="007C279A" w:rsidP="003C7F2F">
      <w:pPr>
        <w:jc w:val="both"/>
        <w:rPr>
          <w:rFonts w:cs="Arial"/>
          <w:b/>
          <w:szCs w:val="24"/>
        </w:rPr>
      </w:pPr>
    </w:p>
    <w:p w14:paraId="31B16BD6" w14:textId="77777777" w:rsidR="00573FF1" w:rsidRDefault="00573FF1" w:rsidP="003C7F2F">
      <w:pPr>
        <w:jc w:val="both"/>
        <w:rPr>
          <w:rFonts w:cs="Arial"/>
          <w:b/>
          <w:szCs w:val="24"/>
        </w:rPr>
      </w:pPr>
    </w:p>
    <w:p w14:paraId="53392A62" w14:textId="132947BA" w:rsidR="005933AB" w:rsidRDefault="005933AB" w:rsidP="003C7F2F">
      <w:pPr>
        <w:jc w:val="both"/>
        <w:rPr>
          <w:rFonts w:cs="Arial"/>
          <w:b/>
          <w:szCs w:val="24"/>
        </w:rPr>
      </w:pPr>
      <w:r>
        <w:rPr>
          <w:rFonts w:cs="Arial"/>
          <w:b/>
          <w:szCs w:val="24"/>
        </w:rPr>
        <w:lastRenderedPageBreak/>
        <w:t>CHIEF EXECUTIVE</w:t>
      </w:r>
    </w:p>
    <w:p w14:paraId="6FCDD7E3" w14:textId="16AFDADE" w:rsidR="005933AB" w:rsidRDefault="005933AB" w:rsidP="003C7F2F">
      <w:pPr>
        <w:jc w:val="both"/>
        <w:rPr>
          <w:rFonts w:cs="Arial"/>
          <w:b/>
          <w:szCs w:val="24"/>
        </w:rPr>
      </w:pPr>
    </w:p>
    <w:p w14:paraId="724DCC0F" w14:textId="7C9D9AF0" w:rsidR="005933AB" w:rsidRPr="00D665EB" w:rsidRDefault="005933AB" w:rsidP="005933AB">
      <w:pPr>
        <w:jc w:val="both"/>
        <w:rPr>
          <w:rFonts w:cs="Arial"/>
          <w:b/>
          <w:color w:val="FF0000"/>
          <w:szCs w:val="24"/>
          <w:u w:val="single"/>
        </w:rPr>
      </w:pPr>
      <w:r w:rsidRPr="00D665EB">
        <w:rPr>
          <w:rFonts w:cs="Arial"/>
          <w:b/>
          <w:szCs w:val="24"/>
          <w:u w:val="single"/>
        </w:rPr>
        <w:t xml:space="preserve">Table 2: </w:t>
      </w:r>
      <w:r>
        <w:rPr>
          <w:rFonts w:cs="Arial"/>
          <w:b/>
          <w:szCs w:val="24"/>
          <w:u w:val="single"/>
        </w:rPr>
        <w:t>Chief Executive</w:t>
      </w:r>
      <w:r w:rsidRPr="00D665EB">
        <w:rPr>
          <w:rFonts w:cs="Arial"/>
          <w:b/>
          <w:szCs w:val="24"/>
          <w:u w:val="single"/>
        </w:rPr>
        <w:t xml:space="preserve"> </w:t>
      </w:r>
      <w:r>
        <w:rPr>
          <w:rFonts w:cs="Arial"/>
          <w:b/>
          <w:szCs w:val="24"/>
          <w:u w:val="single"/>
        </w:rPr>
        <w:t>Forecast</w:t>
      </w:r>
      <w:r w:rsidRPr="00D665EB">
        <w:rPr>
          <w:rFonts w:cs="Arial"/>
          <w:b/>
          <w:szCs w:val="24"/>
          <w:u w:val="single"/>
        </w:rPr>
        <w:t xml:space="preserve"> Outturn</w:t>
      </w:r>
      <w:r>
        <w:rPr>
          <w:rFonts w:cs="Arial"/>
          <w:b/>
          <w:szCs w:val="24"/>
          <w:u w:val="single"/>
        </w:rPr>
        <w:t xml:space="preserve"> Q2</w:t>
      </w:r>
      <w:r w:rsidRPr="00D665EB">
        <w:rPr>
          <w:rFonts w:cs="Arial"/>
          <w:b/>
          <w:szCs w:val="24"/>
          <w:u w:val="single"/>
        </w:rPr>
        <w:t xml:space="preserve"> 202</w:t>
      </w:r>
      <w:r>
        <w:rPr>
          <w:rFonts w:cs="Arial"/>
          <w:b/>
          <w:szCs w:val="24"/>
          <w:u w:val="single"/>
        </w:rPr>
        <w:t>2</w:t>
      </w:r>
      <w:r w:rsidRPr="00D665EB">
        <w:rPr>
          <w:rFonts w:cs="Arial"/>
          <w:b/>
          <w:szCs w:val="24"/>
          <w:u w:val="single"/>
        </w:rPr>
        <w:t>-2</w:t>
      </w:r>
      <w:r>
        <w:rPr>
          <w:rFonts w:cs="Arial"/>
          <w:b/>
          <w:szCs w:val="24"/>
          <w:u w:val="single"/>
        </w:rPr>
        <w:t>3</w:t>
      </w:r>
    </w:p>
    <w:p w14:paraId="1E9BFB56" w14:textId="62AC0D7E" w:rsidR="005933AB" w:rsidRDefault="005933AB" w:rsidP="003C7F2F">
      <w:pPr>
        <w:jc w:val="both"/>
        <w:rPr>
          <w:rFonts w:cs="Arial"/>
          <w:b/>
          <w:szCs w:val="24"/>
        </w:rPr>
      </w:pPr>
    </w:p>
    <w:tbl>
      <w:tblPr>
        <w:tblStyle w:val="TableGrid"/>
        <w:tblW w:w="10774" w:type="dxa"/>
        <w:tblInd w:w="-856" w:type="dxa"/>
        <w:tblLook w:val="04A0" w:firstRow="1" w:lastRow="0" w:firstColumn="1" w:lastColumn="0" w:noHBand="0" w:noVBand="1"/>
      </w:tblPr>
      <w:tblGrid>
        <w:gridCol w:w="2259"/>
        <w:gridCol w:w="1349"/>
        <w:gridCol w:w="1212"/>
        <w:gridCol w:w="1261"/>
        <w:gridCol w:w="1121"/>
        <w:gridCol w:w="1245"/>
        <w:gridCol w:w="1121"/>
        <w:gridCol w:w="1206"/>
      </w:tblGrid>
      <w:tr w:rsidR="008157EA" w:rsidRPr="007C5E43" w14:paraId="3163A2DA" w14:textId="77777777" w:rsidTr="007C5E43">
        <w:tc>
          <w:tcPr>
            <w:tcW w:w="2259" w:type="dxa"/>
          </w:tcPr>
          <w:p w14:paraId="21032A3E" w14:textId="0D7FA915" w:rsidR="008157EA" w:rsidRPr="007C5E43" w:rsidRDefault="008157EA" w:rsidP="008157EA">
            <w:pPr>
              <w:pStyle w:val="ListParagraph"/>
              <w:ind w:left="31"/>
              <w:jc w:val="both"/>
              <w:rPr>
                <w:rFonts w:cs="Arial"/>
                <w:b/>
                <w:bCs/>
                <w:sz w:val="20"/>
              </w:rPr>
            </w:pPr>
            <w:r w:rsidRPr="007C5E43">
              <w:rPr>
                <w:b/>
                <w:bCs/>
                <w:sz w:val="20"/>
              </w:rPr>
              <w:t>Division</w:t>
            </w:r>
          </w:p>
        </w:tc>
        <w:tc>
          <w:tcPr>
            <w:tcW w:w="1349" w:type="dxa"/>
          </w:tcPr>
          <w:p w14:paraId="117861DF" w14:textId="75863CD4" w:rsidR="008157EA" w:rsidRPr="007C5E43" w:rsidRDefault="008157EA" w:rsidP="008157EA">
            <w:pPr>
              <w:pStyle w:val="ListParagraph"/>
              <w:ind w:left="0"/>
              <w:jc w:val="both"/>
              <w:rPr>
                <w:rFonts w:cs="Arial"/>
                <w:b/>
                <w:bCs/>
                <w:sz w:val="20"/>
              </w:rPr>
            </w:pPr>
            <w:r w:rsidRPr="007C5E43">
              <w:rPr>
                <w:b/>
                <w:bCs/>
                <w:sz w:val="20"/>
              </w:rPr>
              <w:t>Budget</w:t>
            </w:r>
          </w:p>
        </w:tc>
        <w:tc>
          <w:tcPr>
            <w:tcW w:w="1212" w:type="dxa"/>
          </w:tcPr>
          <w:p w14:paraId="44E805D2" w14:textId="39D885AE" w:rsidR="008157EA" w:rsidRPr="007C5E43" w:rsidRDefault="008157EA" w:rsidP="008157EA">
            <w:pPr>
              <w:pStyle w:val="ListParagraph"/>
              <w:ind w:left="0"/>
              <w:jc w:val="both"/>
              <w:rPr>
                <w:rFonts w:cs="Arial"/>
                <w:b/>
                <w:bCs/>
                <w:sz w:val="20"/>
              </w:rPr>
            </w:pPr>
            <w:r w:rsidRPr="007C5E43">
              <w:rPr>
                <w:b/>
                <w:bCs/>
                <w:sz w:val="20"/>
              </w:rPr>
              <w:t>Forecast</w:t>
            </w:r>
          </w:p>
        </w:tc>
        <w:tc>
          <w:tcPr>
            <w:tcW w:w="1261" w:type="dxa"/>
          </w:tcPr>
          <w:p w14:paraId="14341079" w14:textId="428D3702" w:rsidR="008157EA" w:rsidRPr="007C5E43" w:rsidRDefault="008157EA" w:rsidP="008157EA">
            <w:pPr>
              <w:pStyle w:val="ListParagraph"/>
              <w:ind w:left="0"/>
              <w:jc w:val="center"/>
              <w:rPr>
                <w:rFonts w:cs="Arial"/>
                <w:b/>
                <w:bCs/>
                <w:sz w:val="20"/>
              </w:rPr>
            </w:pPr>
            <w:r w:rsidRPr="007C5E43">
              <w:rPr>
                <w:b/>
                <w:bCs/>
                <w:sz w:val="20"/>
              </w:rPr>
              <w:t>To/ (From) Reserves</w:t>
            </w:r>
          </w:p>
        </w:tc>
        <w:tc>
          <w:tcPr>
            <w:tcW w:w="1121" w:type="dxa"/>
          </w:tcPr>
          <w:p w14:paraId="2C68BADD" w14:textId="3E84168D" w:rsidR="008157EA" w:rsidRPr="007C5E43" w:rsidRDefault="008157EA" w:rsidP="008157EA">
            <w:pPr>
              <w:pStyle w:val="ListParagraph"/>
              <w:ind w:left="0"/>
              <w:jc w:val="center"/>
              <w:rPr>
                <w:rFonts w:cs="Arial"/>
                <w:b/>
                <w:bCs/>
                <w:sz w:val="20"/>
              </w:rPr>
            </w:pPr>
            <w:r w:rsidRPr="007C5E43">
              <w:rPr>
                <w:b/>
                <w:bCs/>
                <w:sz w:val="20"/>
              </w:rPr>
              <w:t>Revised Forecast</w:t>
            </w:r>
          </w:p>
        </w:tc>
        <w:tc>
          <w:tcPr>
            <w:tcW w:w="1245" w:type="dxa"/>
          </w:tcPr>
          <w:p w14:paraId="48D58002" w14:textId="6C61FC5B" w:rsidR="008157EA" w:rsidRPr="007C5E43" w:rsidRDefault="008157EA" w:rsidP="008157EA">
            <w:pPr>
              <w:pStyle w:val="ListParagraph"/>
              <w:ind w:left="0"/>
              <w:jc w:val="center"/>
              <w:rPr>
                <w:rFonts w:cs="Arial"/>
                <w:b/>
                <w:bCs/>
                <w:sz w:val="20"/>
              </w:rPr>
            </w:pPr>
            <w:r w:rsidRPr="007C5E43">
              <w:rPr>
                <w:b/>
                <w:bCs/>
                <w:sz w:val="20"/>
              </w:rPr>
              <w:t>Variance to budget</w:t>
            </w:r>
          </w:p>
        </w:tc>
        <w:tc>
          <w:tcPr>
            <w:tcW w:w="1121" w:type="dxa"/>
          </w:tcPr>
          <w:p w14:paraId="419CB0C2" w14:textId="061B26CC" w:rsidR="008157EA" w:rsidRPr="007C5E43" w:rsidRDefault="008157EA" w:rsidP="008157EA">
            <w:pPr>
              <w:pStyle w:val="ListParagraph"/>
              <w:ind w:left="0"/>
              <w:jc w:val="center"/>
              <w:rPr>
                <w:rFonts w:cs="Arial"/>
                <w:b/>
                <w:bCs/>
                <w:sz w:val="20"/>
              </w:rPr>
            </w:pPr>
            <w:r w:rsidRPr="007C5E43">
              <w:rPr>
                <w:b/>
                <w:bCs/>
                <w:sz w:val="20"/>
              </w:rPr>
              <w:t>Q1 Variance</w:t>
            </w:r>
          </w:p>
        </w:tc>
        <w:tc>
          <w:tcPr>
            <w:tcW w:w="1206" w:type="dxa"/>
          </w:tcPr>
          <w:p w14:paraId="3335C8C3" w14:textId="5AAC1DC6" w:rsidR="008157EA" w:rsidRPr="007C5E43" w:rsidRDefault="008157EA" w:rsidP="008157EA">
            <w:pPr>
              <w:pStyle w:val="ListParagraph"/>
              <w:ind w:left="0"/>
              <w:jc w:val="center"/>
              <w:rPr>
                <w:rFonts w:cs="Arial"/>
                <w:b/>
                <w:bCs/>
                <w:sz w:val="20"/>
              </w:rPr>
            </w:pPr>
            <w:r w:rsidRPr="007C5E43">
              <w:rPr>
                <w:b/>
                <w:bCs/>
                <w:sz w:val="20"/>
              </w:rPr>
              <w:t>Movement to Q1</w:t>
            </w:r>
          </w:p>
        </w:tc>
      </w:tr>
      <w:tr w:rsidR="008157EA" w:rsidRPr="007C5E43" w14:paraId="2BDA029D" w14:textId="77777777" w:rsidTr="007C5E43">
        <w:tc>
          <w:tcPr>
            <w:tcW w:w="2259" w:type="dxa"/>
          </w:tcPr>
          <w:p w14:paraId="19118A75" w14:textId="77777777" w:rsidR="008157EA" w:rsidRPr="007C5E43" w:rsidRDefault="008157EA" w:rsidP="008157EA">
            <w:pPr>
              <w:pStyle w:val="ListParagraph"/>
              <w:ind w:left="0"/>
              <w:jc w:val="both"/>
              <w:rPr>
                <w:rFonts w:cs="Arial"/>
                <w:b/>
                <w:bCs/>
                <w:sz w:val="20"/>
              </w:rPr>
            </w:pPr>
          </w:p>
        </w:tc>
        <w:tc>
          <w:tcPr>
            <w:tcW w:w="1349" w:type="dxa"/>
          </w:tcPr>
          <w:p w14:paraId="50F96D6A" w14:textId="67AE283E" w:rsidR="008157EA" w:rsidRPr="007C5E43" w:rsidRDefault="008157EA" w:rsidP="008157EA">
            <w:pPr>
              <w:pStyle w:val="ListParagraph"/>
              <w:ind w:left="0"/>
              <w:jc w:val="center"/>
              <w:rPr>
                <w:rFonts w:cs="Arial"/>
                <w:b/>
                <w:bCs/>
                <w:sz w:val="20"/>
              </w:rPr>
            </w:pPr>
            <w:r w:rsidRPr="007C5E43">
              <w:rPr>
                <w:rFonts w:cs="Arial"/>
                <w:b/>
                <w:bCs/>
                <w:sz w:val="20"/>
              </w:rPr>
              <w:t>£000</w:t>
            </w:r>
          </w:p>
        </w:tc>
        <w:tc>
          <w:tcPr>
            <w:tcW w:w="1212" w:type="dxa"/>
          </w:tcPr>
          <w:p w14:paraId="566B6002" w14:textId="102D6D2A" w:rsidR="008157EA" w:rsidRPr="007C5E43" w:rsidRDefault="008157EA" w:rsidP="008157EA">
            <w:pPr>
              <w:pStyle w:val="ListParagraph"/>
              <w:ind w:left="0"/>
              <w:jc w:val="center"/>
              <w:rPr>
                <w:rFonts w:cs="Arial"/>
                <w:b/>
                <w:bCs/>
                <w:sz w:val="20"/>
              </w:rPr>
            </w:pPr>
            <w:r w:rsidRPr="007C5E43">
              <w:rPr>
                <w:rFonts w:cs="Arial"/>
                <w:b/>
                <w:bCs/>
                <w:sz w:val="20"/>
              </w:rPr>
              <w:t>£000</w:t>
            </w:r>
          </w:p>
        </w:tc>
        <w:tc>
          <w:tcPr>
            <w:tcW w:w="1261" w:type="dxa"/>
          </w:tcPr>
          <w:p w14:paraId="704F0C42" w14:textId="5581BAF7" w:rsidR="008157EA" w:rsidRPr="007C5E43" w:rsidRDefault="008157EA" w:rsidP="008157EA">
            <w:pPr>
              <w:pStyle w:val="ListParagraph"/>
              <w:ind w:left="0"/>
              <w:jc w:val="center"/>
              <w:rPr>
                <w:rFonts w:cs="Arial"/>
                <w:b/>
                <w:bCs/>
                <w:sz w:val="20"/>
              </w:rPr>
            </w:pPr>
            <w:r w:rsidRPr="007C5E43">
              <w:rPr>
                <w:rFonts w:cs="Arial"/>
                <w:b/>
                <w:bCs/>
                <w:sz w:val="20"/>
              </w:rPr>
              <w:t>£000</w:t>
            </w:r>
          </w:p>
        </w:tc>
        <w:tc>
          <w:tcPr>
            <w:tcW w:w="1121" w:type="dxa"/>
          </w:tcPr>
          <w:p w14:paraId="23963085" w14:textId="129CC151" w:rsidR="008157EA" w:rsidRPr="007C5E43" w:rsidRDefault="008157EA" w:rsidP="008157EA">
            <w:pPr>
              <w:pStyle w:val="ListParagraph"/>
              <w:ind w:left="0"/>
              <w:jc w:val="center"/>
              <w:rPr>
                <w:rFonts w:cs="Arial"/>
                <w:b/>
                <w:bCs/>
                <w:sz w:val="20"/>
              </w:rPr>
            </w:pPr>
            <w:r w:rsidRPr="007C5E43">
              <w:rPr>
                <w:rFonts w:cs="Arial"/>
                <w:b/>
                <w:bCs/>
                <w:sz w:val="20"/>
              </w:rPr>
              <w:t>£000</w:t>
            </w:r>
          </w:p>
        </w:tc>
        <w:tc>
          <w:tcPr>
            <w:tcW w:w="1245" w:type="dxa"/>
          </w:tcPr>
          <w:p w14:paraId="53D03190" w14:textId="7B782058" w:rsidR="008157EA" w:rsidRPr="007C5E43" w:rsidRDefault="008157EA" w:rsidP="008157EA">
            <w:pPr>
              <w:pStyle w:val="ListParagraph"/>
              <w:ind w:left="0"/>
              <w:jc w:val="center"/>
              <w:rPr>
                <w:rFonts w:cs="Arial"/>
                <w:b/>
                <w:bCs/>
                <w:sz w:val="20"/>
              </w:rPr>
            </w:pPr>
            <w:r w:rsidRPr="007C5E43">
              <w:rPr>
                <w:rFonts w:cs="Arial"/>
                <w:b/>
                <w:bCs/>
                <w:sz w:val="20"/>
              </w:rPr>
              <w:t>£000</w:t>
            </w:r>
          </w:p>
        </w:tc>
        <w:tc>
          <w:tcPr>
            <w:tcW w:w="1121" w:type="dxa"/>
          </w:tcPr>
          <w:p w14:paraId="750A3395" w14:textId="54D95A10" w:rsidR="008157EA" w:rsidRPr="007C5E43" w:rsidRDefault="008157EA" w:rsidP="008157EA">
            <w:pPr>
              <w:pStyle w:val="ListParagraph"/>
              <w:ind w:left="0"/>
              <w:jc w:val="center"/>
              <w:rPr>
                <w:rFonts w:cs="Arial"/>
                <w:b/>
                <w:bCs/>
                <w:sz w:val="20"/>
              </w:rPr>
            </w:pPr>
            <w:r w:rsidRPr="007C5E43">
              <w:rPr>
                <w:rFonts w:cs="Arial"/>
                <w:b/>
                <w:bCs/>
                <w:sz w:val="20"/>
              </w:rPr>
              <w:t>£000</w:t>
            </w:r>
          </w:p>
        </w:tc>
        <w:tc>
          <w:tcPr>
            <w:tcW w:w="1206" w:type="dxa"/>
          </w:tcPr>
          <w:p w14:paraId="2369C5E7" w14:textId="6F48C3A8" w:rsidR="008157EA" w:rsidRPr="007C5E43" w:rsidRDefault="008157EA" w:rsidP="008157EA">
            <w:pPr>
              <w:pStyle w:val="ListParagraph"/>
              <w:ind w:left="0"/>
              <w:jc w:val="center"/>
              <w:rPr>
                <w:rFonts w:cs="Arial"/>
                <w:b/>
                <w:bCs/>
                <w:sz w:val="20"/>
              </w:rPr>
            </w:pPr>
            <w:r w:rsidRPr="007C5E43">
              <w:rPr>
                <w:rFonts w:cs="Arial"/>
                <w:b/>
                <w:bCs/>
                <w:sz w:val="20"/>
              </w:rPr>
              <w:t>£000</w:t>
            </w:r>
          </w:p>
        </w:tc>
      </w:tr>
      <w:tr w:rsidR="008157EA" w:rsidRPr="007C5E43" w14:paraId="23815FA1" w14:textId="77777777" w:rsidTr="007C5E43">
        <w:tc>
          <w:tcPr>
            <w:tcW w:w="2259" w:type="dxa"/>
            <w:tcBorders>
              <w:top w:val="nil"/>
              <w:left w:val="single" w:sz="8" w:space="0" w:color="auto"/>
              <w:bottom w:val="single" w:sz="8" w:space="0" w:color="auto"/>
              <w:right w:val="single" w:sz="8" w:space="0" w:color="auto"/>
            </w:tcBorders>
            <w:shd w:val="clear" w:color="auto" w:fill="auto"/>
          </w:tcPr>
          <w:p w14:paraId="0B0AA904" w14:textId="12960A8C" w:rsidR="008157EA" w:rsidRPr="007C5E43" w:rsidRDefault="008157EA" w:rsidP="008157EA">
            <w:pPr>
              <w:pStyle w:val="ListParagraph"/>
              <w:ind w:left="0"/>
              <w:rPr>
                <w:rFonts w:cs="Arial"/>
                <w:bCs/>
                <w:sz w:val="20"/>
              </w:rPr>
            </w:pPr>
            <w:r w:rsidRPr="007C5E43">
              <w:rPr>
                <w:sz w:val="20"/>
              </w:rPr>
              <w:t>Finance &amp; Insurance</w:t>
            </w:r>
          </w:p>
        </w:tc>
        <w:tc>
          <w:tcPr>
            <w:tcW w:w="1349" w:type="dxa"/>
            <w:tcBorders>
              <w:top w:val="nil"/>
              <w:left w:val="single" w:sz="8" w:space="0" w:color="auto"/>
              <w:bottom w:val="single" w:sz="8" w:space="0" w:color="auto"/>
              <w:right w:val="single" w:sz="8" w:space="0" w:color="auto"/>
            </w:tcBorders>
            <w:shd w:val="clear" w:color="auto" w:fill="auto"/>
          </w:tcPr>
          <w:p w14:paraId="3302C6AF" w14:textId="211F4CD1" w:rsidR="008157EA" w:rsidRPr="007C5E43" w:rsidRDefault="008157EA" w:rsidP="008157EA">
            <w:pPr>
              <w:pStyle w:val="ListParagraph"/>
              <w:ind w:left="0"/>
              <w:jc w:val="right"/>
              <w:rPr>
                <w:rFonts w:cs="Arial"/>
                <w:bCs/>
                <w:sz w:val="20"/>
              </w:rPr>
            </w:pPr>
            <w:r w:rsidRPr="007C5E43">
              <w:rPr>
                <w:sz w:val="20"/>
              </w:rPr>
              <w:t>3,337</w:t>
            </w:r>
          </w:p>
        </w:tc>
        <w:tc>
          <w:tcPr>
            <w:tcW w:w="1212" w:type="dxa"/>
            <w:tcBorders>
              <w:top w:val="nil"/>
              <w:left w:val="single" w:sz="8" w:space="0" w:color="auto"/>
              <w:bottom w:val="single" w:sz="8" w:space="0" w:color="auto"/>
              <w:right w:val="single" w:sz="8" w:space="0" w:color="auto"/>
            </w:tcBorders>
            <w:shd w:val="clear" w:color="auto" w:fill="auto"/>
          </w:tcPr>
          <w:p w14:paraId="65A316C0" w14:textId="48D2AAFE" w:rsidR="008157EA" w:rsidRPr="007C5E43" w:rsidRDefault="008157EA" w:rsidP="008157EA">
            <w:pPr>
              <w:pStyle w:val="ListParagraph"/>
              <w:ind w:left="0"/>
              <w:jc w:val="right"/>
              <w:rPr>
                <w:rFonts w:cs="Arial"/>
                <w:bCs/>
                <w:sz w:val="20"/>
              </w:rPr>
            </w:pPr>
            <w:r w:rsidRPr="007C5E43">
              <w:rPr>
                <w:sz w:val="20"/>
              </w:rPr>
              <w:t>3,563</w:t>
            </w:r>
          </w:p>
        </w:tc>
        <w:tc>
          <w:tcPr>
            <w:tcW w:w="1261" w:type="dxa"/>
            <w:tcBorders>
              <w:top w:val="nil"/>
              <w:left w:val="nil"/>
              <w:bottom w:val="single" w:sz="8" w:space="0" w:color="auto"/>
              <w:right w:val="single" w:sz="8" w:space="0" w:color="auto"/>
            </w:tcBorders>
            <w:shd w:val="clear" w:color="000000" w:fill="FFFFFF"/>
          </w:tcPr>
          <w:p w14:paraId="3CACBC29" w14:textId="54F6AD89" w:rsidR="008157EA" w:rsidRPr="007C5E43" w:rsidRDefault="008157EA" w:rsidP="008157EA">
            <w:pPr>
              <w:pStyle w:val="ListParagraph"/>
              <w:ind w:left="0"/>
              <w:jc w:val="right"/>
              <w:rPr>
                <w:rFonts w:cs="Arial"/>
                <w:bCs/>
                <w:sz w:val="20"/>
              </w:rPr>
            </w:pPr>
            <w:r w:rsidRPr="007C5E43">
              <w:rPr>
                <w:sz w:val="20"/>
              </w:rPr>
              <w:t>-226</w:t>
            </w:r>
          </w:p>
        </w:tc>
        <w:tc>
          <w:tcPr>
            <w:tcW w:w="1121" w:type="dxa"/>
            <w:tcBorders>
              <w:top w:val="nil"/>
              <w:left w:val="nil"/>
              <w:bottom w:val="single" w:sz="8" w:space="0" w:color="auto"/>
              <w:right w:val="single" w:sz="8" w:space="0" w:color="auto"/>
            </w:tcBorders>
            <w:shd w:val="clear" w:color="000000" w:fill="FFFFFF"/>
          </w:tcPr>
          <w:p w14:paraId="49BB46C3" w14:textId="166C43C1" w:rsidR="008157EA" w:rsidRPr="007C5E43" w:rsidRDefault="008157EA" w:rsidP="008157EA">
            <w:pPr>
              <w:pStyle w:val="ListParagraph"/>
              <w:ind w:left="0"/>
              <w:jc w:val="right"/>
              <w:rPr>
                <w:rFonts w:cs="Arial"/>
                <w:bCs/>
                <w:sz w:val="20"/>
              </w:rPr>
            </w:pPr>
            <w:r w:rsidRPr="007C5E43">
              <w:rPr>
                <w:sz w:val="20"/>
              </w:rPr>
              <w:t>3,337</w:t>
            </w:r>
          </w:p>
        </w:tc>
        <w:tc>
          <w:tcPr>
            <w:tcW w:w="1245" w:type="dxa"/>
            <w:tcBorders>
              <w:top w:val="nil"/>
              <w:left w:val="nil"/>
              <w:bottom w:val="single" w:sz="8" w:space="0" w:color="auto"/>
              <w:right w:val="single" w:sz="8" w:space="0" w:color="auto"/>
            </w:tcBorders>
            <w:shd w:val="clear" w:color="000000" w:fill="FFFFFF"/>
          </w:tcPr>
          <w:p w14:paraId="309686D3" w14:textId="526FF491" w:rsidR="008157EA" w:rsidRPr="007C5E43" w:rsidRDefault="008157EA" w:rsidP="008157EA">
            <w:pPr>
              <w:pStyle w:val="ListParagraph"/>
              <w:ind w:left="0"/>
              <w:jc w:val="right"/>
              <w:rPr>
                <w:rFonts w:cs="Arial"/>
                <w:bCs/>
                <w:sz w:val="20"/>
              </w:rPr>
            </w:pPr>
            <w:r w:rsidRPr="007C5E43">
              <w:rPr>
                <w:sz w:val="20"/>
              </w:rPr>
              <w:t>0</w:t>
            </w:r>
          </w:p>
        </w:tc>
        <w:tc>
          <w:tcPr>
            <w:tcW w:w="1121" w:type="dxa"/>
            <w:tcBorders>
              <w:top w:val="nil"/>
              <w:left w:val="nil"/>
              <w:bottom w:val="single" w:sz="8" w:space="0" w:color="auto"/>
              <w:right w:val="single" w:sz="8" w:space="0" w:color="auto"/>
            </w:tcBorders>
            <w:shd w:val="clear" w:color="auto" w:fill="auto"/>
          </w:tcPr>
          <w:p w14:paraId="19BF1A48" w14:textId="2C063405" w:rsidR="008157EA" w:rsidRPr="007C5E43" w:rsidRDefault="008157EA" w:rsidP="008157EA">
            <w:pPr>
              <w:pStyle w:val="ListParagraph"/>
              <w:ind w:left="0"/>
              <w:jc w:val="right"/>
              <w:rPr>
                <w:rFonts w:cs="Arial"/>
                <w:bCs/>
                <w:sz w:val="20"/>
              </w:rPr>
            </w:pPr>
            <w:r w:rsidRPr="007C5E43">
              <w:rPr>
                <w:sz w:val="20"/>
              </w:rPr>
              <w:t>0</w:t>
            </w:r>
          </w:p>
        </w:tc>
        <w:tc>
          <w:tcPr>
            <w:tcW w:w="1206" w:type="dxa"/>
            <w:tcBorders>
              <w:top w:val="nil"/>
              <w:left w:val="nil"/>
              <w:bottom w:val="single" w:sz="8" w:space="0" w:color="auto"/>
              <w:right w:val="single" w:sz="8" w:space="0" w:color="auto"/>
            </w:tcBorders>
            <w:shd w:val="clear" w:color="000000" w:fill="F2F2F2"/>
          </w:tcPr>
          <w:p w14:paraId="535FF686" w14:textId="05067963" w:rsidR="008157EA" w:rsidRPr="007C5E43" w:rsidRDefault="008157EA" w:rsidP="008157EA">
            <w:pPr>
              <w:pStyle w:val="ListParagraph"/>
              <w:ind w:left="0"/>
              <w:jc w:val="right"/>
              <w:rPr>
                <w:rFonts w:cs="Arial"/>
                <w:bCs/>
                <w:sz w:val="20"/>
              </w:rPr>
            </w:pPr>
            <w:r w:rsidRPr="007C5E43">
              <w:rPr>
                <w:sz w:val="20"/>
              </w:rPr>
              <w:t>0</w:t>
            </w:r>
          </w:p>
        </w:tc>
      </w:tr>
      <w:tr w:rsidR="008157EA" w:rsidRPr="007C5E43" w14:paraId="7E45BEB4" w14:textId="77777777" w:rsidTr="007C5E43">
        <w:tc>
          <w:tcPr>
            <w:tcW w:w="2259" w:type="dxa"/>
            <w:tcBorders>
              <w:top w:val="nil"/>
              <w:left w:val="single" w:sz="8" w:space="0" w:color="auto"/>
              <w:bottom w:val="single" w:sz="8" w:space="0" w:color="auto"/>
              <w:right w:val="single" w:sz="8" w:space="0" w:color="auto"/>
            </w:tcBorders>
            <w:shd w:val="clear" w:color="auto" w:fill="auto"/>
          </w:tcPr>
          <w:p w14:paraId="1E47BC52" w14:textId="646B8F13" w:rsidR="008157EA" w:rsidRPr="007C5E43" w:rsidRDefault="008157EA" w:rsidP="008157EA">
            <w:pPr>
              <w:pStyle w:val="ListParagraph"/>
              <w:ind w:left="0"/>
              <w:rPr>
                <w:rFonts w:cs="Arial"/>
                <w:bCs/>
                <w:sz w:val="20"/>
              </w:rPr>
            </w:pPr>
            <w:r w:rsidRPr="007C5E43">
              <w:rPr>
                <w:sz w:val="20"/>
              </w:rPr>
              <w:t>Revenues &amp; Benefits</w:t>
            </w:r>
          </w:p>
        </w:tc>
        <w:tc>
          <w:tcPr>
            <w:tcW w:w="1349" w:type="dxa"/>
            <w:tcBorders>
              <w:top w:val="nil"/>
              <w:left w:val="single" w:sz="8" w:space="0" w:color="auto"/>
              <w:bottom w:val="single" w:sz="8" w:space="0" w:color="auto"/>
              <w:right w:val="single" w:sz="8" w:space="0" w:color="auto"/>
            </w:tcBorders>
            <w:shd w:val="clear" w:color="auto" w:fill="auto"/>
          </w:tcPr>
          <w:p w14:paraId="41104811" w14:textId="0D5CAA04" w:rsidR="008157EA" w:rsidRPr="007C5E43" w:rsidRDefault="008157EA" w:rsidP="008157EA">
            <w:pPr>
              <w:pStyle w:val="ListParagraph"/>
              <w:ind w:left="0"/>
              <w:jc w:val="right"/>
              <w:rPr>
                <w:rFonts w:cs="Arial"/>
                <w:bCs/>
                <w:sz w:val="20"/>
              </w:rPr>
            </w:pPr>
            <w:r w:rsidRPr="007C5E43">
              <w:rPr>
                <w:sz w:val="20"/>
              </w:rPr>
              <w:t>9,147</w:t>
            </w:r>
          </w:p>
        </w:tc>
        <w:tc>
          <w:tcPr>
            <w:tcW w:w="1212" w:type="dxa"/>
            <w:tcBorders>
              <w:top w:val="nil"/>
              <w:left w:val="single" w:sz="8" w:space="0" w:color="auto"/>
              <w:bottom w:val="single" w:sz="8" w:space="0" w:color="auto"/>
              <w:right w:val="single" w:sz="8" w:space="0" w:color="auto"/>
            </w:tcBorders>
            <w:shd w:val="clear" w:color="auto" w:fill="auto"/>
          </w:tcPr>
          <w:p w14:paraId="353E5B03" w14:textId="36F31453" w:rsidR="008157EA" w:rsidRPr="007C5E43" w:rsidRDefault="008157EA" w:rsidP="008157EA">
            <w:pPr>
              <w:pStyle w:val="ListParagraph"/>
              <w:ind w:left="0"/>
              <w:jc w:val="right"/>
              <w:rPr>
                <w:rFonts w:cs="Arial"/>
                <w:bCs/>
                <w:sz w:val="20"/>
              </w:rPr>
            </w:pPr>
            <w:r w:rsidRPr="007C5E43">
              <w:rPr>
                <w:sz w:val="20"/>
              </w:rPr>
              <w:t>9,547</w:t>
            </w:r>
          </w:p>
        </w:tc>
        <w:tc>
          <w:tcPr>
            <w:tcW w:w="1261" w:type="dxa"/>
            <w:tcBorders>
              <w:top w:val="nil"/>
              <w:left w:val="nil"/>
              <w:bottom w:val="single" w:sz="8" w:space="0" w:color="auto"/>
              <w:right w:val="single" w:sz="8" w:space="0" w:color="auto"/>
            </w:tcBorders>
            <w:shd w:val="clear" w:color="000000" w:fill="FFFFFF"/>
          </w:tcPr>
          <w:p w14:paraId="34364C6B" w14:textId="265F88D3" w:rsidR="008157EA" w:rsidRPr="007C5E43" w:rsidRDefault="008157EA" w:rsidP="008157EA">
            <w:pPr>
              <w:pStyle w:val="ListParagraph"/>
              <w:ind w:left="0"/>
              <w:jc w:val="right"/>
              <w:rPr>
                <w:rFonts w:cs="Arial"/>
                <w:bCs/>
                <w:sz w:val="20"/>
              </w:rPr>
            </w:pPr>
            <w:r w:rsidRPr="007C5E43">
              <w:rPr>
                <w:sz w:val="20"/>
              </w:rPr>
              <w:t>-400</w:t>
            </w:r>
          </w:p>
        </w:tc>
        <w:tc>
          <w:tcPr>
            <w:tcW w:w="1121" w:type="dxa"/>
            <w:tcBorders>
              <w:top w:val="nil"/>
              <w:left w:val="nil"/>
              <w:bottom w:val="single" w:sz="8" w:space="0" w:color="auto"/>
              <w:right w:val="single" w:sz="8" w:space="0" w:color="auto"/>
            </w:tcBorders>
            <w:shd w:val="clear" w:color="000000" w:fill="FFFFFF"/>
          </w:tcPr>
          <w:p w14:paraId="221E85E8" w14:textId="3A10C3DF" w:rsidR="008157EA" w:rsidRPr="007C5E43" w:rsidRDefault="008157EA" w:rsidP="008157EA">
            <w:pPr>
              <w:pStyle w:val="ListParagraph"/>
              <w:ind w:left="0"/>
              <w:jc w:val="right"/>
              <w:rPr>
                <w:rFonts w:cs="Arial"/>
                <w:bCs/>
                <w:sz w:val="20"/>
              </w:rPr>
            </w:pPr>
            <w:r w:rsidRPr="007C5E43">
              <w:rPr>
                <w:sz w:val="20"/>
              </w:rPr>
              <w:t>9,147</w:t>
            </w:r>
          </w:p>
        </w:tc>
        <w:tc>
          <w:tcPr>
            <w:tcW w:w="1245" w:type="dxa"/>
            <w:tcBorders>
              <w:top w:val="nil"/>
              <w:left w:val="nil"/>
              <w:bottom w:val="single" w:sz="8" w:space="0" w:color="auto"/>
              <w:right w:val="single" w:sz="8" w:space="0" w:color="auto"/>
            </w:tcBorders>
            <w:shd w:val="clear" w:color="000000" w:fill="FFFFFF"/>
          </w:tcPr>
          <w:p w14:paraId="0803D161" w14:textId="303704D9" w:rsidR="008157EA" w:rsidRPr="007C5E43" w:rsidRDefault="008157EA" w:rsidP="008157EA">
            <w:pPr>
              <w:pStyle w:val="ListParagraph"/>
              <w:ind w:left="0"/>
              <w:jc w:val="right"/>
              <w:rPr>
                <w:rFonts w:cs="Arial"/>
                <w:bCs/>
                <w:sz w:val="20"/>
              </w:rPr>
            </w:pPr>
            <w:r w:rsidRPr="007C5E43">
              <w:rPr>
                <w:sz w:val="20"/>
              </w:rPr>
              <w:t>0</w:t>
            </w:r>
          </w:p>
        </w:tc>
        <w:tc>
          <w:tcPr>
            <w:tcW w:w="1121" w:type="dxa"/>
            <w:tcBorders>
              <w:top w:val="nil"/>
              <w:left w:val="nil"/>
              <w:bottom w:val="single" w:sz="8" w:space="0" w:color="auto"/>
              <w:right w:val="single" w:sz="8" w:space="0" w:color="auto"/>
            </w:tcBorders>
            <w:shd w:val="clear" w:color="auto" w:fill="auto"/>
          </w:tcPr>
          <w:p w14:paraId="15841D47" w14:textId="49C1D392" w:rsidR="008157EA" w:rsidRPr="007C5E43" w:rsidRDefault="008157EA" w:rsidP="008157EA">
            <w:pPr>
              <w:pStyle w:val="ListParagraph"/>
              <w:ind w:left="0"/>
              <w:jc w:val="right"/>
              <w:rPr>
                <w:rFonts w:cs="Arial"/>
                <w:bCs/>
                <w:sz w:val="20"/>
              </w:rPr>
            </w:pPr>
            <w:r w:rsidRPr="007C5E43">
              <w:rPr>
                <w:sz w:val="20"/>
              </w:rPr>
              <w:t>0</w:t>
            </w:r>
          </w:p>
        </w:tc>
        <w:tc>
          <w:tcPr>
            <w:tcW w:w="1206" w:type="dxa"/>
            <w:tcBorders>
              <w:top w:val="nil"/>
              <w:left w:val="nil"/>
              <w:bottom w:val="single" w:sz="8" w:space="0" w:color="auto"/>
              <w:right w:val="single" w:sz="8" w:space="0" w:color="auto"/>
            </w:tcBorders>
            <w:shd w:val="clear" w:color="000000" w:fill="F2F2F2"/>
          </w:tcPr>
          <w:p w14:paraId="0863F8A0" w14:textId="2BDE609B" w:rsidR="008157EA" w:rsidRPr="007C5E43" w:rsidRDefault="008157EA" w:rsidP="008157EA">
            <w:pPr>
              <w:pStyle w:val="ListParagraph"/>
              <w:ind w:left="0"/>
              <w:jc w:val="right"/>
              <w:rPr>
                <w:rFonts w:cs="Arial"/>
                <w:bCs/>
                <w:sz w:val="20"/>
              </w:rPr>
            </w:pPr>
            <w:r w:rsidRPr="007C5E43">
              <w:rPr>
                <w:sz w:val="20"/>
              </w:rPr>
              <w:t>0</w:t>
            </w:r>
          </w:p>
        </w:tc>
      </w:tr>
      <w:tr w:rsidR="008157EA" w:rsidRPr="007C5E43" w14:paraId="4BCE4A00" w14:textId="77777777" w:rsidTr="007C5E43">
        <w:tc>
          <w:tcPr>
            <w:tcW w:w="2259" w:type="dxa"/>
            <w:tcBorders>
              <w:top w:val="nil"/>
              <w:left w:val="single" w:sz="8" w:space="0" w:color="auto"/>
              <w:bottom w:val="single" w:sz="8" w:space="0" w:color="auto"/>
              <w:right w:val="single" w:sz="8" w:space="0" w:color="auto"/>
            </w:tcBorders>
            <w:shd w:val="clear" w:color="auto" w:fill="auto"/>
          </w:tcPr>
          <w:p w14:paraId="731055B8" w14:textId="0D2CE89D" w:rsidR="008157EA" w:rsidRPr="007C5E43" w:rsidRDefault="008157EA" w:rsidP="008157EA">
            <w:pPr>
              <w:pStyle w:val="ListParagraph"/>
              <w:ind w:left="0"/>
              <w:rPr>
                <w:rFonts w:cs="Arial"/>
                <w:bCs/>
                <w:sz w:val="20"/>
              </w:rPr>
            </w:pPr>
            <w:r w:rsidRPr="007C5E43">
              <w:rPr>
                <w:sz w:val="20"/>
              </w:rPr>
              <w:t>Procurement</w:t>
            </w:r>
          </w:p>
        </w:tc>
        <w:tc>
          <w:tcPr>
            <w:tcW w:w="1349" w:type="dxa"/>
            <w:tcBorders>
              <w:top w:val="nil"/>
              <w:left w:val="single" w:sz="8" w:space="0" w:color="auto"/>
              <w:bottom w:val="single" w:sz="8" w:space="0" w:color="auto"/>
              <w:right w:val="single" w:sz="8" w:space="0" w:color="auto"/>
            </w:tcBorders>
            <w:shd w:val="clear" w:color="auto" w:fill="auto"/>
          </w:tcPr>
          <w:p w14:paraId="54B5679B" w14:textId="0EE47B65" w:rsidR="008157EA" w:rsidRPr="007C5E43" w:rsidRDefault="008157EA" w:rsidP="008157EA">
            <w:pPr>
              <w:pStyle w:val="ListParagraph"/>
              <w:ind w:left="0"/>
              <w:jc w:val="right"/>
              <w:rPr>
                <w:rFonts w:cs="Arial"/>
                <w:bCs/>
                <w:sz w:val="20"/>
              </w:rPr>
            </w:pPr>
            <w:r w:rsidRPr="007C5E43">
              <w:rPr>
                <w:sz w:val="20"/>
              </w:rPr>
              <w:t>687</w:t>
            </w:r>
          </w:p>
        </w:tc>
        <w:tc>
          <w:tcPr>
            <w:tcW w:w="1212" w:type="dxa"/>
            <w:tcBorders>
              <w:top w:val="nil"/>
              <w:left w:val="single" w:sz="8" w:space="0" w:color="auto"/>
              <w:bottom w:val="single" w:sz="8" w:space="0" w:color="auto"/>
              <w:right w:val="single" w:sz="8" w:space="0" w:color="auto"/>
            </w:tcBorders>
            <w:shd w:val="clear" w:color="auto" w:fill="auto"/>
          </w:tcPr>
          <w:p w14:paraId="54B20284" w14:textId="6E5E998C" w:rsidR="008157EA" w:rsidRPr="007C5E43" w:rsidRDefault="008157EA" w:rsidP="008157EA">
            <w:pPr>
              <w:pStyle w:val="ListParagraph"/>
              <w:ind w:left="0"/>
              <w:jc w:val="right"/>
              <w:rPr>
                <w:rFonts w:cs="Arial"/>
                <w:bCs/>
                <w:sz w:val="20"/>
              </w:rPr>
            </w:pPr>
            <w:r w:rsidRPr="007C5E43">
              <w:rPr>
                <w:sz w:val="20"/>
              </w:rPr>
              <w:t>687</w:t>
            </w:r>
          </w:p>
        </w:tc>
        <w:tc>
          <w:tcPr>
            <w:tcW w:w="1261" w:type="dxa"/>
            <w:tcBorders>
              <w:top w:val="nil"/>
              <w:left w:val="nil"/>
              <w:bottom w:val="single" w:sz="8" w:space="0" w:color="auto"/>
              <w:right w:val="single" w:sz="8" w:space="0" w:color="auto"/>
            </w:tcBorders>
            <w:shd w:val="clear" w:color="000000" w:fill="FFFFFF"/>
          </w:tcPr>
          <w:p w14:paraId="4C1756FF" w14:textId="3E35711E" w:rsidR="008157EA" w:rsidRPr="007C5E43" w:rsidRDefault="008157EA" w:rsidP="008157EA">
            <w:pPr>
              <w:pStyle w:val="ListParagraph"/>
              <w:ind w:left="0"/>
              <w:jc w:val="right"/>
              <w:rPr>
                <w:rFonts w:cs="Arial"/>
                <w:bCs/>
                <w:sz w:val="20"/>
              </w:rPr>
            </w:pPr>
            <w:r w:rsidRPr="007C5E43">
              <w:rPr>
                <w:sz w:val="20"/>
              </w:rPr>
              <w:t>0</w:t>
            </w:r>
          </w:p>
        </w:tc>
        <w:tc>
          <w:tcPr>
            <w:tcW w:w="1121" w:type="dxa"/>
            <w:tcBorders>
              <w:top w:val="nil"/>
              <w:left w:val="nil"/>
              <w:bottom w:val="single" w:sz="8" w:space="0" w:color="auto"/>
              <w:right w:val="single" w:sz="8" w:space="0" w:color="auto"/>
            </w:tcBorders>
            <w:shd w:val="clear" w:color="000000" w:fill="FFFFFF"/>
          </w:tcPr>
          <w:p w14:paraId="367154B2" w14:textId="23415D0C" w:rsidR="008157EA" w:rsidRPr="007C5E43" w:rsidRDefault="008157EA" w:rsidP="008157EA">
            <w:pPr>
              <w:pStyle w:val="ListParagraph"/>
              <w:ind w:left="0"/>
              <w:jc w:val="right"/>
              <w:rPr>
                <w:rFonts w:cs="Arial"/>
                <w:bCs/>
                <w:sz w:val="20"/>
              </w:rPr>
            </w:pPr>
            <w:r w:rsidRPr="007C5E43">
              <w:rPr>
                <w:sz w:val="20"/>
              </w:rPr>
              <w:t>687</w:t>
            </w:r>
          </w:p>
        </w:tc>
        <w:tc>
          <w:tcPr>
            <w:tcW w:w="1245" w:type="dxa"/>
            <w:tcBorders>
              <w:top w:val="nil"/>
              <w:left w:val="nil"/>
              <w:bottom w:val="single" w:sz="8" w:space="0" w:color="auto"/>
              <w:right w:val="single" w:sz="8" w:space="0" w:color="auto"/>
            </w:tcBorders>
            <w:shd w:val="clear" w:color="000000" w:fill="FFFFFF"/>
          </w:tcPr>
          <w:p w14:paraId="34CB0542" w14:textId="1D9B6456" w:rsidR="008157EA" w:rsidRPr="007C5E43" w:rsidRDefault="008157EA" w:rsidP="008157EA">
            <w:pPr>
              <w:pStyle w:val="ListParagraph"/>
              <w:ind w:left="0"/>
              <w:jc w:val="right"/>
              <w:rPr>
                <w:rFonts w:cs="Arial"/>
                <w:bCs/>
                <w:sz w:val="20"/>
              </w:rPr>
            </w:pPr>
            <w:r w:rsidRPr="007C5E43">
              <w:rPr>
                <w:sz w:val="20"/>
              </w:rPr>
              <w:t>0</w:t>
            </w:r>
          </w:p>
        </w:tc>
        <w:tc>
          <w:tcPr>
            <w:tcW w:w="1121" w:type="dxa"/>
            <w:tcBorders>
              <w:top w:val="nil"/>
              <w:left w:val="nil"/>
              <w:bottom w:val="single" w:sz="8" w:space="0" w:color="auto"/>
              <w:right w:val="single" w:sz="8" w:space="0" w:color="auto"/>
            </w:tcBorders>
            <w:shd w:val="clear" w:color="auto" w:fill="auto"/>
          </w:tcPr>
          <w:p w14:paraId="6B959196" w14:textId="6D64FBF3" w:rsidR="008157EA" w:rsidRPr="007C5E43" w:rsidRDefault="008157EA" w:rsidP="008157EA">
            <w:pPr>
              <w:pStyle w:val="ListParagraph"/>
              <w:ind w:left="0"/>
              <w:jc w:val="right"/>
              <w:rPr>
                <w:rFonts w:cs="Arial"/>
                <w:bCs/>
                <w:sz w:val="20"/>
              </w:rPr>
            </w:pPr>
            <w:r w:rsidRPr="007C5E43">
              <w:rPr>
                <w:sz w:val="20"/>
              </w:rPr>
              <w:t>0</w:t>
            </w:r>
          </w:p>
        </w:tc>
        <w:tc>
          <w:tcPr>
            <w:tcW w:w="1206" w:type="dxa"/>
            <w:tcBorders>
              <w:top w:val="nil"/>
              <w:left w:val="nil"/>
              <w:bottom w:val="single" w:sz="8" w:space="0" w:color="auto"/>
              <w:right w:val="single" w:sz="8" w:space="0" w:color="auto"/>
            </w:tcBorders>
            <w:shd w:val="clear" w:color="000000" w:fill="F2F2F2"/>
          </w:tcPr>
          <w:p w14:paraId="63FF14D0" w14:textId="562288C5" w:rsidR="008157EA" w:rsidRPr="007C5E43" w:rsidRDefault="008157EA" w:rsidP="008157EA">
            <w:pPr>
              <w:pStyle w:val="ListParagraph"/>
              <w:ind w:left="0"/>
              <w:jc w:val="right"/>
              <w:rPr>
                <w:rFonts w:cs="Arial"/>
                <w:bCs/>
                <w:sz w:val="20"/>
              </w:rPr>
            </w:pPr>
            <w:r w:rsidRPr="007C5E43">
              <w:rPr>
                <w:sz w:val="20"/>
              </w:rPr>
              <w:t>0</w:t>
            </w:r>
          </w:p>
        </w:tc>
      </w:tr>
      <w:tr w:rsidR="008157EA" w:rsidRPr="007C5E43" w14:paraId="4580633D" w14:textId="77777777" w:rsidTr="007C5E43">
        <w:tc>
          <w:tcPr>
            <w:tcW w:w="2259" w:type="dxa"/>
            <w:tcBorders>
              <w:top w:val="nil"/>
              <w:left w:val="single" w:sz="8" w:space="0" w:color="auto"/>
              <w:bottom w:val="single" w:sz="8" w:space="0" w:color="auto"/>
              <w:right w:val="single" w:sz="8" w:space="0" w:color="auto"/>
            </w:tcBorders>
            <w:shd w:val="clear" w:color="auto" w:fill="auto"/>
          </w:tcPr>
          <w:p w14:paraId="1C435966" w14:textId="166729FC" w:rsidR="008157EA" w:rsidRPr="007C5E43" w:rsidRDefault="00930F7A" w:rsidP="008157EA">
            <w:pPr>
              <w:pStyle w:val="ListParagraph"/>
              <w:ind w:left="0"/>
              <w:rPr>
                <w:rFonts w:cs="Arial"/>
                <w:bCs/>
                <w:sz w:val="20"/>
              </w:rPr>
            </w:pPr>
            <w:r w:rsidRPr="007C5E43">
              <w:rPr>
                <w:sz w:val="20"/>
              </w:rPr>
              <w:t>Internal</w:t>
            </w:r>
            <w:r w:rsidR="008157EA" w:rsidRPr="007C5E43">
              <w:rPr>
                <w:sz w:val="20"/>
              </w:rPr>
              <w:t xml:space="preserve"> Audit/CAFT</w:t>
            </w:r>
          </w:p>
        </w:tc>
        <w:tc>
          <w:tcPr>
            <w:tcW w:w="1349" w:type="dxa"/>
            <w:tcBorders>
              <w:top w:val="nil"/>
              <w:left w:val="single" w:sz="8" w:space="0" w:color="auto"/>
              <w:bottom w:val="single" w:sz="8" w:space="0" w:color="auto"/>
              <w:right w:val="single" w:sz="8" w:space="0" w:color="auto"/>
            </w:tcBorders>
            <w:shd w:val="clear" w:color="auto" w:fill="auto"/>
          </w:tcPr>
          <w:p w14:paraId="5EC95906" w14:textId="5CBD9FD4" w:rsidR="008157EA" w:rsidRPr="007C5E43" w:rsidRDefault="008157EA" w:rsidP="008157EA">
            <w:pPr>
              <w:pStyle w:val="ListParagraph"/>
              <w:ind w:left="0"/>
              <w:jc w:val="right"/>
              <w:rPr>
                <w:rFonts w:cs="Arial"/>
                <w:bCs/>
                <w:sz w:val="20"/>
              </w:rPr>
            </w:pPr>
            <w:r w:rsidRPr="007C5E43">
              <w:rPr>
                <w:sz w:val="20"/>
              </w:rPr>
              <w:t>636</w:t>
            </w:r>
          </w:p>
        </w:tc>
        <w:tc>
          <w:tcPr>
            <w:tcW w:w="1212" w:type="dxa"/>
            <w:tcBorders>
              <w:top w:val="nil"/>
              <w:left w:val="single" w:sz="8" w:space="0" w:color="auto"/>
              <w:bottom w:val="single" w:sz="8" w:space="0" w:color="auto"/>
              <w:right w:val="single" w:sz="8" w:space="0" w:color="auto"/>
            </w:tcBorders>
            <w:shd w:val="clear" w:color="auto" w:fill="auto"/>
          </w:tcPr>
          <w:p w14:paraId="43F9C50E" w14:textId="71A975C8" w:rsidR="008157EA" w:rsidRPr="007C5E43" w:rsidRDefault="008157EA" w:rsidP="008157EA">
            <w:pPr>
              <w:pStyle w:val="ListParagraph"/>
              <w:ind w:left="0"/>
              <w:jc w:val="right"/>
              <w:rPr>
                <w:rFonts w:cs="Arial"/>
                <w:bCs/>
                <w:sz w:val="20"/>
              </w:rPr>
            </w:pPr>
            <w:r w:rsidRPr="007C5E43">
              <w:rPr>
                <w:sz w:val="20"/>
              </w:rPr>
              <w:t>624</w:t>
            </w:r>
          </w:p>
        </w:tc>
        <w:tc>
          <w:tcPr>
            <w:tcW w:w="1261" w:type="dxa"/>
            <w:tcBorders>
              <w:top w:val="nil"/>
              <w:left w:val="nil"/>
              <w:bottom w:val="single" w:sz="8" w:space="0" w:color="auto"/>
              <w:right w:val="single" w:sz="8" w:space="0" w:color="auto"/>
            </w:tcBorders>
            <w:shd w:val="clear" w:color="000000" w:fill="FFFFFF"/>
          </w:tcPr>
          <w:p w14:paraId="600988DE" w14:textId="0D187DD5" w:rsidR="008157EA" w:rsidRPr="007C5E43" w:rsidRDefault="008157EA" w:rsidP="008157EA">
            <w:pPr>
              <w:pStyle w:val="ListParagraph"/>
              <w:ind w:left="0"/>
              <w:jc w:val="right"/>
              <w:rPr>
                <w:rFonts w:cs="Arial"/>
                <w:bCs/>
                <w:sz w:val="20"/>
              </w:rPr>
            </w:pPr>
            <w:r w:rsidRPr="007C5E43">
              <w:rPr>
                <w:sz w:val="20"/>
              </w:rPr>
              <w:t>0</w:t>
            </w:r>
          </w:p>
        </w:tc>
        <w:tc>
          <w:tcPr>
            <w:tcW w:w="1121" w:type="dxa"/>
            <w:tcBorders>
              <w:top w:val="nil"/>
              <w:left w:val="nil"/>
              <w:bottom w:val="single" w:sz="8" w:space="0" w:color="auto"/>
              <w:right w:val="single" w:sz="8" w:space="0" w:color="auto"/>
            </w:tcBorders>
            <w:shd w:val="clear" w:color="000000" w:fill="FFFFFF"/>
          </w:tcPr>
          <w:p w14:paraId="68D4A43B" w14:textId="7FA017BC" w:rsidR="008157EA" w:rsidRPr="007C5E43" w:rsidRDefault="008157EA" w:rsidP="008157EA">
            <w:pPr>
              <w:pStyle w:val="ListParagraph"/>
              <w:ind w:left="0"/>
              <w:jc w:val="right"/>
              <w:rPr>
                <w:rFonts w:cs="Arial"/>
                <w:bCs/>
                <w:sz w:val="20"/>
              </w:rPr>
            </w:pPr>
            <w:r w:rsidRPr="007C5E43">
              <w:rPr>
                <w:sz w:val="20"/>
              </w:rPr>
              <w:t>624</w:t>
            </w:r>
          </w:p>
        </w:tc>
        <w:tc>
          <w:tcPr>
            <w:tcW w:w="1245" w:type="dxa"/>
            <w:tcBorders>
              <w:top w:val="nil"/>
              <w:left w:val="nil"/>
              <w:bottom w:val="single" w:sz="8" w:space="0" w:color="auto"/>
              <w:right w:val="single" w:sz="8" w:space="0" w:color="auto"/>
            </w:tcBorders>
            <w:shd w:val="clear" w:color="000000" w:fill="FFFFFF"/>
          </w:tcPr>
          <w:p w14:paraId="40AD67BD" w14:textId="3BBB92D0" w:rsidR="008157EA" w:rsidRPr="007C5E43" w:rsidRDefault="008157EA" w:rsidP="008157EA">
            <w:pPr>
              <w:pStyle w:val="ListParagraph"/>
              <w:ind w:left="0"/>
              <w:jc w:val="right"/>
              <w:rPr>
                <w:rFonts w:cs="Arial"/>
                <w:bCs/>
                <w:sz w:val="20"/>
              </w:rPr>
            </w:pPr>
            <w:r w:rsidRPr="007C5E43">
              <w:rPr>
                <w:sz w:val="20"/>
              </w:rPr>
              <w:t>-12</w:t>
            </w:r>
          </w:p>
        </w:tc>
        <w:tc>
          <w:tcPr>
            <w:tcW w:w="1121" w:type="dxa"/>
            <w:tcBorders>
              <w:top w:val="nil"/>
              <w:left w:val="nil"/>
              <w:bottom w:val="single" w:sz="8" w:space="0" w:color="auto"/>
              <w:right w:val="single" w:sz="8" w:space="0" w:color="auto"/>
            </w:tcBorders>
            <w:shd w:val="clear" w:color="auto" w:fill="auto"/>
          </w:tcPr>
          <w:p w14:paraId="5771A49C" w14:textId="25FC17CC" w:rsidR="008157EA" w:rsidRPr="007C5E43" w:rsidRDefault="008157EA" w:rsidP="008157EA">
            <w:pPr>
              <w:pStyle w:val="ListParagraph"/>
              <w:ind w:left="0"/>
              <w:jc w:val="right"/>
              <w:rPr>
                <w:rFonts w:cs="Arial"/>
                <w:bCs/>
                <w:sz w:val="20"/>
              </w:rPr>
            </w:pPr>
            <w:r w:rsidRPr="007C5E43">
              <w:rPr>
                <w:sz w:val="20"/>
              </w:rPr>
              <w:t>-12</w:t>
            </w:r>
          </w:p>
        </w:tc>
        <w:tc>
          <w:tcPr>
            <w:tcW w:w="1206" w:type="dxa"/>
            <w:tcBorders>
              <w:top w:val="nil"/>
              <w:left w:val="nil"/>
              <w:bottom w:val="single" w:sz="8" w:space="0" w:color="auto"/>
              <w:right w:val="single" w:sz="8" w:space="0" w:color="auto"/>
            </w:tcBorders>
            <w:shd w:val="clear" w:color="000000" w:fill="F2F2F2"/>
          </w:tcPr>
          <w:p w14:paraId="3DC4E48A" w14:textId="5329A59B" w:rsidR="008157EA" w:rsidRPr="007C5E43" w:rsidRDefault="008157EA" w:rsidP="008157EA">
            <w:pPr>
              <w:pStyle w:val="ListParagraph"/>
              <w:ind w:left="0"/>
              <w:jc w:val="right"/>
              <w:rPr>
                <w:rFonts w:cs="Arial"/>
                <w:bCs/>
                <w:sz w:val="20"/>
              </w:rPr>
            </w:pPr>
            <w:r w:rsidRPr="007C5E43">
              <w:rPr>
                <w:sz w:val="20"/>
              </w:rPr>
              <w:t>0</w:t>
            </w:r>
          </w:p>
        </w:tc>
      </w:tr>
      <w:tr w:rsidR="008157EA" w:rsidRPr="007C5E43" w14:paraId="7B966592" w14:textId="77777777" w:rsidTr="007C5E43">
        <w:tc>
          <w:tcPr>
            <w:tcW w:w="2259" w:type="dxa"/>
            <w:tcBorders>
              <w:top w:val="nil"/>
              <w:left w:val="single" w:sz="8" w:space="0" w:color="auto"/>
              <w:bottom w:val="single" w:sz="8" w:space="0" w:color="auto"/>
              <w:right w:val="single" w:sz="8" w:space="0" w:color="auto"/>
            </w:tcBorders>
            <w:shd w:val="clear" w:color="auto" w:fill="auto"/>
          </w:tcPr>
          <w:p w14:paraId="41072560" w14:textId="7FC3037F" w:rsidR="008157EA" w:rsidRPr="007C5E43" w:rsidRDefault="008157EA" w:rsidP="008157EA">
            <w:pPr>
              <w:pStyle w:val="ListParagraph"/>
              <w:ind w:left="0"/>
              <w:rPr>
                <w:rFonts w:cs="Arial"/>
                <w:bCs/>
                <w:sz w:val="20"/>
              </w:rPr>
            </w:pPr>
            <w:r w:rsidRPr="007C5E43">
              <w:rPr>
                <w:sz w:val="20"/>
              </w:rPr>
              <w:t>Legal &amp; Governance</w:t>
            </w:r>
          </w:p>
        </w:tc>
        <w:tc>
          <w:tcPr>
            <w:tcW w:w="1349" w:type="dxa"/>
            <w:tcBorders>
              <w:top w:val="nil"/>
              <w:left w:val="single" w:sz="8" w:space="0" w:color="auto"/>
              <w:bottom w:val="single" w:sz="8" w:space="0" w:color="auto"/>
              <w:right w:val="single" w:sz="8" w:space="0" w:color="auto"/>
            </w:tcBorders>
            <w:shd w:val="clear" w:color="auto" w:fill="auto"/>
          </w:tcPr>
          <w:p w14:paraId="4A31A22D" w14:textId="776A1752" w:rsidR="008157EA" w:rsidRPr="007C5E43" w:rsidRDefault="008157EA" w:rsidP="008157EA">
            <w:pPr>
              <w:pStyle w:val="ListParagraph"/>
              <w:ind w:left="0"/>
              <w:jc w:val="right"/>
              <w:rPr>
                <w:rFonts w:cs="Arial"/>
                <w:bCs/>
                <w:sz w:val="20"/>
              </w:rPr>
            </w:pPr>
            <w:r w:rsidRPr="007C5E43">
              <w:rPr>
                <w:sz w:val="20"/>
              </w:rPr>
              <w:t>3,928</w:t>
            </w:r>
          </w:p>
        </w:tc>
        <w:tc>
          <w:tcPr>
            <w:tcW w:w="1212" w:type="dxa"/>
            <w:tcBorders>
              <w:top w:val="nil"/>
              <w:left w:val="single" w:sz="8" w:space="0" w:color="auto"/>
              <w:bottom w:val="single" w:sz="8" w:space="0" w:color="auto"/>
              <w:right w:val="single" w:sz="8" w:space="0" w:color="auto"/>
            </w:tcBorders>
            <w:shd w:val="clear" w:color="auto" w:fill="auto"/>
          </w:tcPr>
          <w:p w14:paraId="696C0495" w14:textId="3C0D8C1E" w:rsidR="008157EA" w:rsidRPr="007C5E43" w:rsidRDefault="008157EA" w:rsidP="008157EA">
            <w:pPr>
              <w:pStyle w:val="ListParagraph"/>
              <w:ind w:left="0"/>
              <w:jc w:val="right"/>
              <w:rPr>
                <w:rFonts w:cs="Arial"/>
                <w:bCs/>
                <w:sz w:val="20"/>
              </w:rPr>
            </w:pPr>
            <w:r w:rsidRPr="007C5E43">
              <w:rPr>
                <w:sz w:val="20"/>
              </w:rPr>
              <w:t>3,815</w:t>
            </w:r>
          </w:p>
        </w:tc>
        <w:tc>
          <w:tcPr>
            <w:tcW w:w="1261" w:type="dxa"/>
            <w:tcBorders>
              <w:top w:val="nil"/>
              <w:left w:val="nil"/>
              <w:bottom w:val="single" w:sz="8" w:space="0" w:color="auto"/>
              <w:right w:val="single" w:sz="8" w:space="0" w:color="auto"/>
            </w:tcBorders>
            <w:shd w:val="clear" w:color="000000" w:fill="FFFFFF"/>
          </w:tcPr>
          <w:p w14:paraId="6FF8B7C5" w14:textId="6EC520F4" w:rsidR="008157EA" w:rsidRPr="007C5E43" w:rsidRDefault="008157EA" w:rsidP="008157EA">
            <w:pPr>
              <w:pStyle w:val="ListParagraph"/>
              <w:ind w:left="0"/>
              <w:jc w:val="right"/>
              <w:rPr>
                <w:rFonts w:cs="Arial"/>
                <w:bCs/>
                <w:sz w:val="20"/>
              </w:rPr>
            </w:pPr>
            <w:r w:rsidRPr="007C5E43">
              <w:rPr>
                <w:sz w:val="20"/>
              </w:rPr>
              <w:t>-450</w:t>
            </w:r>
          </w:p>
        </w:tc>
        <w:tc>
          <w:tcPr>
            <w:tcW w:w="1121" w:type="dxa"/>
            <w:tcBorders>
              <w:top w:val="nil"/>
              <w:left w:val="nil"/>
              <w:bottom w:val="single" w:sz="8" w:space="0" w:color="auto"/>
              <w:right w:val="single" w:sz="8" w:space="0" w:color="auto"/>
            </w:tcBorders>
            <w:shd w:val="clear" w:color="000000" w:fill="FFFFFF"/>
          </w:tcPr>
          <w:p w14:paraId="33AEF322" w14:textId="1B8E2A7A" w:rsidR="008157EA" w:rsidRPr="007C5E43" w:rsidRDefault="008157EA" w:rsidP="008157EA">
            <w:pPr>
              <w:pStyle w:val="ListParagraph"/>
              <w:ind w:left="0"/>
              <w:jc w:val="right"/>
              <w:rPr>
                <w:rFonts w:cs="Arial"/>
                <w:bCs/>
                <w:sz w:val="20"/>
              </w:rPr>
            </w:pPr>
            <w:r w:rsidRPr="007C5E43">
              <w:rPr>
                <w:sz w:val="20"/>
              </w:rPr>
              <w:t>3,365</w:t>
            </w:r>
          </w:p>
        </w:tc>
        <w:tc>
          <w:tcPr>
            <w:tcW w:w="1245" w:type="dxa"/>
            <w:tcBorders>
              <w:top w:val="nil"/>
              <w:left w:val="nil"/>
              <w:bottom w:val="single" w:sz="8" w:space="0" w:color="auto"/>
              <w:right w:val="single" w:sz="8" w:space="0" w:color="auto"/>
            </w:tcBorders>
            <w:shd w:val="clear" w:color="000000" w:fill="FFFFFF"/>
          </w:tcPr>
          <w:p w14:paraId="59B22ED9" w14:textId="38004B49" w:rsidR="008157EA" w:rsidRPr="007C5E43" w:rsidRDefault="008157EA" w:rsidP="008157EA">
            <w:pPr>
              <w:pStyle w:val="ListParagraph"/>
              <w:ind w:left="0"/>
              <w:jc w:val="right"/>
              <w:rPr>
                <w:rFonts w:cs="Arial"/>
                <w:bCs/>
                <w:sz w:val="20"/>
              </w:rPr>
            </w:pPr>
            <w:r w:rsidRPr="007C5E43">
              <w:rPr>
                <w:sz w:val="20"/>
              </w:rPr>
              <w:t>-563</w:t>
            </w:r>
          </w:p>
        </w:tc>
        <w:tc>
          <w:tcPr>
            <w:tcW w:w="1121" w:type="dxa"/>
            <w:tcBorders>
              <w:top w:val="nil"/>
              <w:left w:val="nil"/>
              <w:bottom w:val="single" w:sz="8" w:space="0" w:color="auto"/>
              <w:right w:val="single" w:sz="8" w:space="0" w:color="auto"/>
            </w:tcBorders>
            <w:shd w:val="clear" w:color="auto" w:fill="auto"/>
          </w:tcPr>
          <w:p w14:paraId="23BC3052" w14:textId="7E54F580" w:rsidR="008157EA" w:rsidRPr="007C5E43" w:rsidRDefault="008157EA" w:rsidP="008157EA">
            <w:pPr>
              <w:pStyle w:val="ListParagraph"/>
              <w:ind w:left="0"/>
              <w:jc w:val="right"/>
              <w:rPr>
                <w:rFonts w:cs="Arial"/>
                <w:bCs/>
                <w:sz w:val="20"/>
              </w:rPr>
            </w:pPr>
            <w:r w:rsidRPr="007C5E43">
              <w:rPr>
                <w:sz w:val="20"/>
              </w:rPr>
              <w:t>-261</w:t>
            </w:r>
          </w:p>
        </w:tc>
        <w:tc>
          <w:tcPr>
            <w:tcW w:w="1206" w:type="dxa"/>
            <w:tcBorders>
              <w:top w:val="nil"/>
              <w:left w:val="nil"/>
              <w:bottom w:val="single" w:sz="8" w:space="0" w:color="auto"/>
              <w:right w:val="single" w:sz="8" w:space="0" w:color="auto"/>
            </w:tcBorders>
            <w:shd w:val="clear" w:color="000000" w:fill="F2F2F2"/>
          </w:tcPr>
          <w:p w14:paraId="05968C70" w14:textId="1C5B225E" w:rsidR="008157EA" w:rsidRPr="007C5E43" w:rsidRDefault="008157EA" w:rsidP="008157EA">
            <w:pPr>
              <w:pStyle w:val="ListParagraph"/>
              <w:ind w:left="0"/>
              <w:jc w:val="right"/>
              <w:rPr>
                <w:rFonts w:cs="Arial"/>
                <w:bCs/>
                <w:sz w:val="20"/>
              </w:rPr>
            </w:pPr>
            <w:r w:rsidRPr="007C5E43">
              <w:rPr>
                <w:sz w:val="20"/>
              </w:rPr>
              <w:t>-302</w:t>
            </w:r>
          </w:p>
        </w:tc>
      </w:tr>
      <w:tr w:rsidR="008157EA" w:rsidRPr="007C5E43" w14:paraId="75D68AFD" w14:textId="77777777" w:rsidTr="007C5E43">
        <w:tc>
          <w:tcPr>
            <w:tcW w:w="2259" w:type="dxa"/>
            <w:tcBorders>
              <w:top w:val="nil"/>
              <w:left w:val="single" w:sz="8" w:space="0" w:color="auto"/>
              <w:bottom w:val="single" w:sz="8" w:space="0" w:color="auto"/>
              <w:right w:val="single" w:sz="8" w:space="0" w:color="auto"/>
            </w:tcBorders>
            <w:shd w:val="clear" w:color="auto" w:fill="auto"/>
          </w:tcPr>
          <w:p w14:paraId="6FA34038" w14:textId="6F423528" w:rsidR="008157EA" w:rsidRPr="007C5E43" w:rsidRDefault="008157EA" w:rsidP="008157EA">
            <w:pPr>
              <w:pStyle w:val="ListParagraph"/>
              <w:ind w:left="0"/>
              <w:rPr>
                <w:rFonts w:cs="Arial"/>
                <w:bCs/>
                <w:sz w:val="20"/>
              </w:rPr>
            </w:pPr>
            <w:r w:rsidRPr="007C5E43">
              <w:rPr>
                <w:sz w:val="20"/>
              </w:rPr>
              <w:t>CEO</w:t>
            </w:r>
          </w:p>
        </w:tc>
        <w:tc>
          <w:tcPr>
            <w:tcW w:w="1349" w:type="dxa"/>
            <w:tcBorders>
              <w:top w:val="nil"/>
              <w:left w:val="single" w:sz="8" w:space="0" w:color="auto"/>
              <w:bottom w:val="single" w:sz="8" w:space="0" w:color="auto"/>
              <w:right w:val="single" w:sz="8" w:space="0" w:color="auto"/>
            </w:tcBorders>
            <w:shd w:val="clear" w:color="auto" w:fill="auto"/>
          </w:tcPr>
          <w:p w14:paraId="64E3A1F6" w14:textId="59FE2489" w:rsidR="008157EA" w:rsidRPr="007C5E43" w:rsidRDefault="008157EA" w:rsidP="008157EA">
            <w:pPr>
              <w:pStyle w:val="ListParagraph"/>
              <w:ind w:left="0"/>
              <w:jc w:val="right"/>
              <w:rPr>
                <w:rFonts w:cs="Arial"/>
                <w:bCs/>
                <w:sz w:val="20"/>
              </w:rPr>
            </w:pPr>
            <w:r w:rsidRPr="007C5E43">
              <w:rPr>
                <w:sz w:val="20"/>
              </w:rPr>
              <w:t>267</w:t>
            </w:r>
          </w:p>
        </w:tc>
        <w:tc>
          <w:tcPr>
            <w:tcW w:w="1212" w:type="dxa"/>
            <w:tcBorders>
              <w:top w:val="nil"/>
              <w:left w:val="single" w:sz="8" w:space="0" w:color="auto"/>
              <w:bottom w:val="single" w:sz="8" w:space="0" w:color="auto"/>
              <w:right w:val="single" w:sz="8" w:space="0" w:color="auto"/>
            </w:tcBorders>
            <w:shd w:val="clear" w:color="auto" w:fill="auto"/>
          </w:tcPr>
          <w:p w14:paraId="53C39DC8" w14:textId="05CC6FEB" w:rsidR="008157EA" w:rsidRPr="007C5E43" w:rsidRDefault="008157EA" w:rsidP="008157EA">
            <w:pPr>
              <w:pStyle w:val="ListParagraph"/>
              <w:ind w:left="0"/>
              <w:jc w:val="right"/>
              <w:rPr>
                <w:rFonts w:cs="Arial"/>
                <w:bCs/>
                <w:sz w:val="20"/>
              </w:rPr>
            </w:pPr>
            <w:r w:rsidRPr="007C5E43">
              <w:rPr>
                <w:sz w:val="20"/>
              </w:rPr>
              <w:t>267</w:t>
            </w:r>
          </w:p>
        </w:tc>
        <w:tc>
          <w:tcPr>
            <w:tcW w:w="1261" w:type="dxa"/>
            <w:tcBorders>
              <w:top w:val="nil"/>
              <w:left w:val="nil"/>
              <w:bottom w:val="single" w:sz="8" w:space="0" w:color="auto"/>
              <w:right w:val="single" w:sz="8" w:space="0" w:color="auto"/>
            </w:tcBorders>
            <w:shd w:val="clear" w:color="000000" w:fill="FFFFFF"/>
          </w:tcPr>
          <w:p w14:paraId="1288D25B" w14:textId="2E8D001B" w:rsidR="008157EA" w:rsidRPr="007C5E43" w:rsidRDefault="008157EA" w:rsidP="008157EA">
            <w:pPr>
              <w:pStyle w:val="ListParagraph"/>
              <w:ind w:left="0"/>
              <w:jc w:val="right"/>
              <w:rPr>
                <w:rFonts w:cs="Arial"/>
                <w:bCs/>
                <w:sz w:val="20"/>
              </w:rPr>
            </w:pPr>
          </w:p>
        </w:tc>
        <w:tc>
          <w:tcPr>
            <w:tcW w:w="1121" w:type="dxa"/>
            <w:tcBorders>
              <w:top w:val="nil"/>
              <w:left w:val="nil"/>
              <w:bottom w:val="single" w:sz="8" w:space="0" w:color="auto"/>
              <w:right w:val="single" w:sz="8" w:space="0" w:color="auto"/>
            </w:tcBorders>
            <w:shd w:val="clear" w:color="000000" w:fill="FFFFFF"/>
          </w:tcPr>
          <w:p w14:paraId="25FAB897" w14:textId="0EEE3D2D" w:rsidR="008157EA" w:rsidRPr="007C5E43" w:rsidRDefault="008157EA" w:rsidP="008157EA">
            <w:pPr>
              <w:pStyle w:val="ListParagraph"/>
              <w:ind w:left="0"/>
              <w:jc w:val="right"/>
              <w:rPr>
                <w:rFonts w:cs="Arial"/>
                <w:bCs/>
                <w:sz w:val="20"/>
              </w:rPr>
            </w:pPr>
            <w:r w:rsidRPr="007C5E43">
              <w:rPr>
                <w:sz w:val="20"/>
              </w:rPr>
              <w:t>267</w:t>
            </w:r>
          </w:p>
        </w:tc>
        <w:tc>
          <w:tcPr>
            <w:tcW w:w="1245" w:type="dxa"/>
            <w:tcBorders>
              <w:top w:val="nil"/>
              <w:left w:val="nil"/>
              <w:bottom w:val="single" w:sz="8" w:space="0" w:color="auto"/>
              <w:right w:val="single" w:sz="8" w:space="0" w:color="auto"/>
            </w:tcBorders>
            <w:shd w:val="clear" w:color="000000" w:fill="FFFFFF"/>
          </w:tcPr>
          <w:p w14:paraId="1E882FEE" w14:textId="64ADA0AA" w:rsidR="008157EA" w:rsidRPr="007C5E43" w:rsidRDefault="008157EA" w:rsidP="008157EA">
            <w:pPr>
              <w:pStyle w:val="ListParagraph"/>
              <w:ind w:left="0"/>
              <w:jc w:val="right"/>
              <w:rPr>
                <w:rFonts w:cs="Arial"/>
                <w:bCs/>
                <w:sz w:val="20"/>
              </w:rPr>
            </w:pPr>
            <w:r w:rsidRPr="007C5E43">
              <w:rPr>
                <w:sz w:val="20"/>
              </w:rPr>
              <w:t>0</w:t>
            </w:r>
          </w:p>
        </w:tc>
        <w:tc>
          <w:tcPr>
            <w:tcW w:w="1121" w:type="dxa"/>
            <w:tcBorders>
              <w:top w:val="nil"/>
              <w:left w:val="nil"/>
              <w:bottom w:val="single" w:sz="8" w:space="0" w:color="auto"/>
              <w:right w:val="single" w:sz="8" w:space="0" w:color="auto"/>
            </w:tcBorders>
            <w:shd w:val="clear" w:color="auto" w:fill="auto"/>
          </w:tcPr>
          <w:p w14:paraId="69A38457" w14:textId="73F9983C" w:rsidR="008157EA" w:rsidRPr="007C5E43" w:rsidRDefault="008157EA" w:rsidP="008157EA">
            <w:pPr>
              <w:pStyle w:val="ListParagraph"/>
              <w:ind w:left="0"/>
              <w:jc w:val="right"/>
              <w:rPr>
                <w:rFonts w:cs="Arial"/>
                <w:bCs/>
                <w:sz w:val="20"/>
              </w:rPr>
            </w:pPr>
            <w:r w:rsidRPr="007C5E43">
              <w:rPr>
                <w:sz w:val="20"/>
              </w:rPr>
              <w:t>0</w:t>
            </w:r>
          </w:p>
        </w:tc>
        <w:tc>
          <w:tcPr>
            <w:tcW w:w="1206" w:type="dxa"/>
            <w:tcBorders>
              <w:top w:val="nil"/>
              <w:left w:val="nil"/>
              <w:bottom w:val="single" w:sz="8" w:space="0" w:color="auto"/>
              <w:right w:val="single" w:sz="8" w:space="0" w:color="auto"/>
            </w:tcBorders>
            <w:shd w:val="clear" w:color="000000" w:fill="F2F2F2"/>
          </w:tcPr>
          <w:p w14:paraId="4118F75D" w14:textId="49522703" w:rsidR="008157EA" w:rsidRPr="007C5E43" w:rsidRDefault="008157EA" w:rsidP="008157EA">
            <w:pPr>
              <w:pStyle w:val="ListParagraph"/>
              <w:ind w:left="0"/>
              <w:jc w:val="right"/>
              <w:rPr>
                <w:rFonts w:cs="Arial"/>
                <w:bCs/>
                <w:sz w:val="20"/>
              </w:rPr>
            </w:pPr>
            <w:r w:rsidRPr="007C5E43">
              <w:rPr>
                <w:sz w:val="20"/>
              </w:rPr>
              <w:t>0</w:t>
            </w:r>
          </w:p>
        </w:tc>
      </w:tr>
      <w:tr w:rsidR="008157EA" w:rsidRPr="007C5E43" w14:paraId="62A9BC4E" w14:textId="77777777" w:rsidTr="007C5E43">
        <w:tc>
          <w:tcPr>
            <w:tcW w:w="2259" w:type="dxa"/>
            <w:tcBorders>
              <w:top w:val="nil"/>
              <w:left w:val="single" w:sz="8" w:space="0" w:color="auto"/>
              <w:bottom w:val="single" w:sz="8" w:space="0" w:color="auto"/>
              <w:right w:val="single" w:sz="8" w:space="0" w:color="auto"/>
            </w:tcBorders>
            <w:shd w:val="clear" w:color="auto" w:fill="auto"/>
          </w:tcPr>
          <w:p w14:paraId="6C407E63" w14:textId="6FAF899C" w:rsidR="008157EA" w:rsidRPr="007C5E43" w:rsidRDefault="008157EA" w:rsidP="008157EA">
            <w:pPr>
              <w:pStyle w:val="ListParagraph"/>
              <w:ind w:left="0"/>
              <w:jc w:val="both"/>
              <w:rPr>
                <w:rFonts w:cs="Arial"/>
                <w:b/>
                <w:bCs/>
                <w:sz w:val="20"/>
              </w:rPr>
            </w:pPr>
            <w:r w:rsidRPr="007C5E43">
              <w:rPr>
                <w:b/>
                <w:bCs/>
                <w:sz w:val="20"/>
              </w:rPr>
              <w:t>Totals</w:t>
            </w:r>
          </w:p>
        </w:tc>
        <w:tc>
          <w:tcPr>
            <w:tcW w:w="1349" w:type="dxa"/>
            <w:tcBorders>
              <w:top w:val="nil"/>
              <w:left w:val="single" w:sz="8" w:space="0" w:color="auto"/>
              <w:bottom w:val="single" w:sz="8" w:space="0" w:color="auto"/>
              <w:right w:val="single" w:sz="8" w:space="0" w:color="auto"/>
            </w:tcBorders>
            <w:shd w:val="clear" w:color="auto" w:fill="auto"/>
          </w:tcPr>
          <w:p w14:paraId="013D94D4" w14:textId="3C3F189D" w:rsidR="008157EA" w:rsidRPr="007C5E43" w:rsidRDefault="008157EA" w:rsidP="008157EA">
            <w:pPr>
              <w:pStyle w:val="ListParagraph"/>
              <w:ind w:left="0"/>
              <w:jc w:val="right"/>
              <w:rPr>
                <w:rFonts w:cs="Arial"/>
                <w:b/>
                <w:bCs/>
                <w:sz w:val="20"/>
              </w:rPr>
            </w:pPr>
            <w:r w:rsidRPr="007C5E43">
              <w:rPr>
                <w:b/>
                <w:bCs/>
                <w:sz w:val="20"/>
              </w:rPr>
              <w:t>18,002</w:t>
            </w:r>
          </w:p>
        </w:tc>
        <w:tc>
          <w:tcPr>
            <w:tcW w:w="1212" w:type="dxa"/>
            <w:tcBorders>
              <w:top w:val="nil"/>
              <w:left w:val="single" w:sz="8" w:space="0" w:color="auto"/>
              <w:bottom w:val="single" w:sz="8" w:space="0" w:color="auto"/>
              <w:right w:val="single" w:sz="8" w:space="0" w:color="auto"/>
            </w:tcBorders>
            <w:shd w:val="clear" w:color="auto" w:fill="auto"/>
          </w:tcPr>
          <w:p w14:paraId="429F14CE" w14:textId="5BA00B16" w:rsidR="008157EA" w:rsidRPr="007C5E43" w:rsidRDefault="008157EA" w:rsidP="008157EA">
            <w:pPr>
              <w:pStyle w:val="ListParagraph"/>
              <w:ind w:left="0"/>
              <w:jc w:val="right"/>
              <w:rPr>
                <w:rFonts w:cs="Arial"/>
                <w:b/>
                <w:bCs/>
                <w:sz w:val="20"/>
              </w:rPr>
            </w:pPr>
            <w:r w:rsidRPr="007C5E43">
              <w:rPr>
                <w:b/>
                <w:bCs/>
                <w:sz w:val="20"/>
              </w:rPr>
              <w:t>18,503</w:t>
            </w:r>
          </w:p>
        </w:tc>
        <w:tc>
          <w:tcPr>
            <w:tcW w:w="1261" w:type="dxa"/>
            <w:tcBorders>
              <w:top w:val="nil"/>
              <w:left w:val="nil"/>
              <w:bottom w:val="single" w:sz="8" w:space="0" w:color="auto"/>
              <w:right w:val="single" w:sz="8" w:space="0" w:color="auto"/>
            </w:tcBorders>
            <w:shd w:val="clear" w:color="000000" w:fill="FFFFFF"/>
          </w:tcPr>
          <w:p w14:paraId="6BEDF747" w14:textId="25D632D8" w:rsidR="008157EA" w:rsidRPr="007C5E43" w:rsidRDefault="008157EA" w:rsidP="008157EA">
            <w:pPr>
              <w:pStyle w:val="ListParagraph"/>
              <w:ind w:left="0"/>
              <w:jc w:val="right"/>
              <w:rPr>
                <w:rFonts w:cs="Arial"/>
                <w:b/>
                <w:bCs/>
                <w:sz w:val="20"/>
              </w:rPr>
            </w:pPr>
            <w:r w:rsidRPr="007C5E43">
              <w:rPr>
                <w:b/>
                <w:bCs/>
                <w:sz w:val="20"/>
              </w:rPr>
              <w:t>-1,076</w:t>
            </w:r>
          </w:p>
        </w:tc>
        <w:tc>
          <w:tcPr>
            <w:tcW w:w="1121" w:type="dxa"/>
            <w:tcBorders>
              <w:top w:val="nil"/>
              <w:left w:val="nil"/>
              <w:bottom w:val="single" w:sz="8" w:space="0" w:color="auto"/>
              <w:right w:val="single" w:sz="8" w:space="0" w:color="auto"/>
            </w:tcBorders>
            <w:shd w:val="clear" w:color="000000" w:fill="FFFFFF"/>
          </w:tcPr>
          <w:p w14:paraId="233453D5" w14:textId="256958DE" w:rsidR="008157EA" w:rsidRPr="007C5E43" w:rsidRDefault="008157EA" w:rsidP="008157EA">
            <w:pPr>
              <w:pStyle w:val="ListParagraph"/>
              <w:ind w:left="0"/>
              <w:jc w:val="right"/>
              <w:rPr>
                <w:rFonts w:cs="Arial"/>
                <w:b/>
                <w:bCs/>
                <w:sz w:val="20"/>
              </w:rPr>
            </w:pPr>
            <w:r w:rsidRPr="007C5E43">
              <w:rPr>
                <w:b/>
                <w:bCs/>
                <w:sz w:val="20"/>
              </w:rPr>
              <w:t>17,427</w:t>
            </w:r>
          </w:p>
        </w:tc>
        <w:tc>
          <w:tcPr>
            <w:tcW w:w="1245" w:type="dxa"/>
            <w:tcBorders>
              <w:top w:val="nil"/>
              <w:left w:val="nil"/>
              <w:bottom w:val="single" w:sz="8" w:space="0" w:color="auto"/>
              <w:right w:val="single" w:sz="8" w:space="0" w:color="auto"/>
            </w:tcBorders>
            <w:shd w:val="clear" w:color="000000" w:fill="FFFFFF"/>
          </w:tcPr>
          <w:p w14:paraId="2980E1BB" w14:textId="558312AA" w:rsidR="008157EA" w:rsidRPr="007C5E43" w:rsidRDefault="008157EA" w:rsidP="008157EA">
            <w:pPr>
              <w:pStyle w:val="ListParagraph"/>
              <w:ind w:left="0"/>
              <w:jc w:val="right"/>
              <w:rPr>
                <w:rFonts w:cs="Arial"/>
                <w:b/>
                <w:bCs/>
                <w:sz w:val="20"/>
              </w:rPr>
            </w:pPr>
            <w:r w:rsidRPr="007C5E43">
              <w:rPr>
                <w:b/>
                <w:bCs/>
                <w:sz w:val="20"/>
              </w:rPr>
              <w:t>-575</w:t>
            </w:r>
          </w:p>
        </w:tc>
        <w:tc>
          <w:tcPr>
            <w:tcW w:w="1121" w:type="dxa"/>
            <w:tcBorders>
              <w:top w:val="nil"/>
              <w:left w:val="nil"/>
              <w:bottom w:val="single" w:sz="8" w:space="0" w:color="auto"/>
              <w:right w:val="single" w:sz="8" w:space="0" w:color="auto"/>
            </w:tcBorders>
            <w:shd w:val="clear" w:color="000000" w:fill="FFFFFF"/>
          </w:tcPr>
          <w:p w14:paraId="5060841F" w14:textId="206FF1AE" w:rsidR="008157EA" w:rsidRPr="007C5E43" w:rsidRDefault="008157EA" w:rsidP="008157EA">
            <w:pPr>
              <w:pStyle w:val="ListParagraph"/>
              <w:ind w:left="0"/>
              <w:jc w:val="right"/>
              <w:rPr>
                <w:rFonts w:cs="Arial"/>
                <w:b/>
                <w:bCs/>
                <w:sz w:val="20"/>
              </w:rPr>
            </w:pPr>
            <w:r w:rsidRPr="007C5E43">
              <w:rPr>
                <w:b/>
                <w:bCs/>
                <w:sz w:val="20"/>
              </w:rPr>
              <w:t>-273</w:t>
            </w:r>
          </w:p>
        </w:tc>
        <w:tc>
          <w:tcPr>
            <w:tcW w:w="1206" w:type="dxa"/>
            <w:tcBorders>
              <w:top w:val="nil"/>
              <w:left w:val="nil"/>
              <w:bottom w:val="single" w:sz="8" w:space="0" w:color="auto"/>
              <w:right w:val="single" w:sz="8" w:space="0" w:color="auto"/>
            </w:tcBorders>
            <w:shd w:val="clear" w:color="000000" w:fill="FFFFFF"/>
          </w:tcPr>
          <w:p w14:paraId="21B97427" w14:textId="01976599" w:rsidR="008157EA" w:rsidRPr="007C5E43" w:rsidRDefault="008157EA" w:rsidP="008157EA">
            <w:pPr>
              <w:pStyle w:val="ListParagraph"/>
              <w:ind w:left="0"/>
              <w:jc w:val="right"/>
              <w:rPr>
                <w:rFonts w:cs="Arial"/>
                <w:b/>
                <w:bCs/>
                <w:sz w:val="20"/>
              </w:rPr>
            </w:pPr>
            <w:r w:rsidRPr="007C5E43">
              <w:rPr>
                <w:b/>
                <w:bCs/>
                <w:sz w:val="20"/>
              </w:rPr>
              <w:t>-302</w:t>
            </w:r>
          </w:p>
        </w:tc>
      </w:tr>
    </w:tbl>
    <w:p w14:paraId="05CFE935" w14:textId="77777777" w:rsidR="008157EA" w:rsidRDefault="008157EA" w:rsidP="008157EA">
      <w:pPr>
        <w:jc w:val="both"/>
        <w:rPr>
          <w:rFonts w:cs="Arial"/>
          <w:b/>
          <w:color w:val="FF0000"/>
          <w:szCs w:val="24"/>
        </w:rPr>
      </w:pPr>
    </w:p>
    <w:p w14:paraId="2B2D0BED" w14:textId="50AA6B5A" w:rsidR="008157EA" w:rsidRDefault="008157EA" w:rsidP="00681298">
      <w:pPr>
        <w:pStyle w:val="ListParagraph"/>
        <w:numPr>
          <w:ilvl w:val="0"/>
          <w:numId w:val="4"/>
        </w:numPr>
        <w:ind w:left="567" w:hanging="567"/>
        <w:jc w:val="both"/>
        <w:rPr>
          <w:rFonts w:cs="Arial"/>
          <w:szCs w:val="24"/>
        </w:rPr>
      </w:pPr>
      <w:r w:rsidRPr="008157EA">
        <w:rPr>
          <w:rFonts w:cs="Arial"/>
          <w:szCs w:val="24"/>
        </w:rPr>
        <w:t xml:space="preserve">As at Q2 the directorate is reporting a net underspend of £575k after draw down from reserves. </w:t>
      </w:r>
      <w:r>
        <w:rPr>
          <w:rFonts w:cs="Arial"/>
          <w:szCs w:val="24"/>
        </w:rPr>
        <w:t xml:space="preserve">This is a reduction from the position reported at Q1 of £302k mainly as a result of improved income in Registration Services and delayed recruitment in Democratic </w:t>
      </w:r>
      <w:r w:rsidR="00930F7A">
        <w:rPr>
          <w:rFonts w:cs="Arial"/>
          <w:szCs w:val="24"/>
        </w:rPr>
        <w:t>Services</w:t>
      </w:r>
      <w:r>
        <w:rPr>
          <w:rFonts w:cs="Arial"/>
          <w:szCs w:val="24"/>
        </w:rPr>
        <w:t xml:space="preserve">. </w:t>
      </w:r>
    </w:p>
    <w:p w14:paraId="0CE4A9CA" w14:textId="77777777" w:rsidR="008157EA" w:rsidRPr="008157EA" w:rsidRDefault="008157EA" w:rsidP="008157EA">
      <w:pPr>
        <w:pStyle w:val="ListParagraph"/>
        <w:ind w:left="567"/>
        <w:jc w:val="both"/>
        <w:rPr>
          <w:rFonts w:cs="Arial"/>
          <w:szCs w:val="24"/>
        </w:rPr>
      </w:pPr>
    </w:p>
    <w:p w14:paraId="6A9C2193" w14:textId="77777777" w:rsidR="008157EA" w:rsidRDefault="008157EA" w:rsidP="008157EA">
      <w:pPr>
        <w:pStyle w:val="ListParagraph"/>
        <w:numPr>
          <w:ilvl w:val="0"/>
          <w:numId w:val="4"/>
        </w:numPr>
        <w:ind w:left="567" w:hanging="567"/>
        <w:jc w:val="both"/>
        <w:rPr>
          <w:rFonts w:cs="Arial"/>
          <w:szCs w:val="24"/>
        </w:rPr>
      </w:pPr>
      <w:r>
        <w:rPr>
          <w:rFonts w:cs="Arial"/>
          <w:szCs w:val="24"/>
        </w:rPr>
        <w:t>The reserve movements are shown in Table 3</w:t>
      </w:r>
    </w:p>
    <w:p w14:paraId="02C0F2DA" w14:textId="77777777" w:rsidR="008157EA" w:rsidRPr="00B83B56" w:rsidRDefault="008157EA" w:rsidP="008157EA">
      <w:pPr>
        <w:pStyle w:val="ListParagraph"/>
        <w:rPr>
          <w:rFonts w:cs="Arial"/>
          <w:szCs w:val="24"/>
        </w:rPr>
      </w:pPr>
    </w:p>
    <w:p w14:paraId="244A169A" w14:textId="2E0C512A" w:rsidR="008157EA" w:rsidRPr="00B83B56" w:rsidRDefault="008157EA" w:rsidP="008157EA">
      <w:pPr>
        <w:jc w:val="both"/>
        <w:rPr>
          <w:rFonts w:cs="Arial"/>
          <w:b/>
          <w:bCs/>
          <w:szCs w:val="24"/>
          <w:u w:val="single"/>
        </w:rPr>
      </w:pPr>
      <w:r w:rsidRPr="00B83B56">
        <w:rPr>
          <w:rFonts w:cs="Arial"/>
          <w:b/>
          <w:bCs/>
          <w:szCs w:val="24"/>
          <w:u w:val="single"/>
        </w:rPr>
        <w:t xml:space="preserve">Table 3: </w:t>
      </w:r>
      <w:r>
        <w:rPr>
          <w:rFonts w:cs="Arial"/>
          <w:b/>
          <w:bCs/>
          <w:szCs w:val="24"/>
          <w:u w:val="single"/>
        </w:rPr>
        <w:t>Chief Executive</w:t>
      </w:r>
      <w:r w:rsidRPr="00B83B56">
        <w:rPr>
          <w:rFonts w:cs="Arial"/>
          <w:b/>
          <w:bCs/>
          <w:szCs w:val="24"/>
          <w:u w:val="single"/>
        </w:rPr>
        <w:t xml:space="preserve"> Reserve Movements 2022-23</w:t>
      </w:r>
    </w:p>
    <w:p w14:paraId="4951CBCA" w14:textId="77777777" w:rsidR="008157EA" w:rsidRDefault="008157EA" w:rsidP="008157EA">
      <w:pPr>
        <w:jc w:val="both"/>
        <w:rPr>
          <w:rFonts w:cs="Arial"/>
          <w:szCs w:val="24"/>
        </w:rPr>
      </w:pPr>
    </w:p>
    <w:tbl>
      <w:tblPr>
        <w:tblStyle w:val="TableGrid"/>
        <w:tblW w:w="0" w:type="auto"/>
        <w:tblLook w:val="04A0" w:firstRow="1" w:lastRow="0" w:firstColumn="1" w:lastColumn="0" w:noHBand="0" w:noVBand="1"/>
      </w:tblPr>
      <w:tblGrid>
        <w:gridCol w:w="6786"/>
        <w:gridCol w:w="2233"/>
      </w:tblGrid>
      <w:tr w:rsidR="008157EA" w:rsidRPr="00B83B56" w14:paraId="075D17F3" w14:textId="77777777" w:rsidTr="008157EA">
        <w:tc>
          <w:tcPr>
            <w:tcW w:w="6786" w:type="dxa"/>
          </w:tcPr>
          <w:p w14:paraId="6203E6E9" w14:textId="77777777" w:rsidR="008157EA" w:rsidRPr="00B83B56" w:rsidRDefault="008157EA" w:rsidP="00990F6C">
            <w:pPr>
              <w:jc w:val="both"/>
              <w:rPr>
                <w:rFonts w:cs="Arial"/>
                <w:b/>
                <w:bCs/>
                <w:sz w:val="20"/>
              </w:rPr>
            </w:pPr>
            <w:r w:rsidRPr="00B83B56">
              <w:rPr>
                <w:b/>
                <w:bCs/>
                <w:sz w:val="20"/>
              </w:rPr>
              <w:t xml:space="preserve">Description </w:t>
            </w:r>
          </w:p>
        </w:tc>
        <w:tc>
          <w:tcPr>
            <w:tcW w:w="2233" w:type="dxa"/>
          </w:tcPr>
          <w:p w14:paraId="4ABE7360" w14:textId="77777777" w:rsidR="008157EA" w:rsidRPr="00B83B56" w:rsidRDefault="008157EA" w:rsidP="00990F6C">
            <w:pPr>
              <w:jc w:val="both"/>
              <w:rPr>
                <w:rFonts w:cs="Arial"/>
                <w:b/>
                <w:bCs/>
                <w:sz w:val="20"/>
              </w:rPr>
            </w:pPr>
            <w:r w:rsidRPr="00B83B56">
              <w:rPr>
                <w:b/>
                <w:bCs/>
                <w:sz w:val="20"/>
              </w:rPr>
              <w:t>Movement £’000</w:t>
            </w:r>
          </w:p>
        </w:tc>
      </w:tr>
      <w:tr w:rsidR="008157EA" w:rsidRPr="00B83B56" w14:paraId="4436DCEC" w14:textId="77777777" w:rsidTr="008157EA">
        <w:tc>
          <w:tcPr>
            <w:tcW w:w="6786" w:type="dxa"/>
          </w:tcPr>
          <w:p w14:paraId="196C723D" w14:textId="77777777" w:rsidR="008157EA" w:rsidRPr="00B83B56" w:rsidRDefault="008157EA" w:rsidP="00990F6C">
            <w:pPr>
              <w:jc w:val="both"/>
              <w:rPr>
                <w:rFonts w:cs="Arial"/>
                <w:sz w:val="20"/>
              </w:rPr>
            </w:pPr>
            <w:r w:rsidRPr="00B83B56">
              <w:rPr>
                <w:sz w:val="20"/>
              </w:rPr>
              <w:t>Borough Election</w:t>
            </w:r>
          </w:p>
        </w:tc>
        <w:tc>
          <w:tcPr>
            <w:tcW w:w="2233" w:type="dxa"/>
          </w:tcPr>
          <w:p w14:paraId="70674109" w14:textId="7C322246" w:rsidR="008157EA" w:rsidRPr="00B83B56" w:rsidRDefault="008157EA" w:rsidP="00990F6C">
            <w:pPr>
              <w:jc w:val="right"/>
              <w:rPr>
                <w:rFonts w:cs="Arial"/>
                <w:sz w:val="20"/>
              </w:rPr>
            </w:pPr>
            <w:r w:rsidRPr="00B83B56">
              <w:rPr>
                <w:sz w:val="20"/>
              </w:rPr>
              <w:t>-4</w:t>
            </w:r>
            <w:r>
              <w:rPr>
                <w:sz w:val="20"/>
              </w:rPr>
              <w:t>50</w:t>
            </w:r>
          </w:p>
        </w:tc>
      </w:tr>
      <w:tr w:rsidR="008157EA" w:rsidRPr="00B83B56" w14:paraId="656F9299" w14:textId="77777777" w:rsidTr="008157EA">
        <w:tc>
          <w:tcPr>
            <w:tcW w:w="6786" w:type="dxa"/>
          </w:tcPr>
          <w:p w14:paraId="07C61DE2" w14:textId="77777777" w:rsidR="008157EA" w:rsidRPr="00B83B56" w:rsidRDefault="008157EA" w:rsidP="00990F6C">
            <w:pPr>
              <w:jc w:val="both"/>
              <w:rPr>
                <w:rFonts w:cs="Arial"/>
                <w:sz w:val="20"/>
              </w:rPr>
            </w:pPr>
            <w:r w:rsidRPr="00B83B56">
              <w:rPr>
                <w:sz w:val="20"/>
              </w:rPr>
              <w:t>Insurance Reserve</w:t>
            </w:r>
          </w:p>
        </w:tc>
        <w:tc>
          <w:tcPr>
            <w:tcW w:w="2233" w:type="dxa"/>
          </w:tcPr>
          <w:p w14:paraId="567519E7" w14:textId="2C0491E2" w:rsidR="008157EA" w:rsidRPr="00B83B56" w:rsidRDefault="008157EA" w:rsidP="00990F6C">
            <w:pPr>
              <w:jc w:val="right"/>
              <w:rPr>
                <w:rFonts w:cs="Arial"/>
                <w:sz w:val="20"/>
              </w:rPr>
            </w:pPr>
            <w:r w:rsidRPr="00B83B56">
              <w:rPr>
                <w:sz w:val="20"/>
              </w:rPr>
              <w:t>-2</w:t>
            </w:r>
            <w:r>
              <w:rPr>
                <w:sz w:val="20"/>
              </w:rPr>
              <w:t>26</w:t>
            </w:r>
          </w:p>
        </w:tc>
      </w:tr>
      <w:tr w:rsidR="008157EA" w:rsidRPr="00B83B56" w14:paraId="1478FB35" w14:textId="77777777" w:rsidTr="008157EA">
        <w:tc>
          <w:tcPr>
            <w:tcW w:w="6786" w:type="dxa"/>
          </w:tcPr>
          <w:p w14:paraId="0457F611" w14:textId="77777777" w:rsidR="008157EA" w:rsidRPr="00B83B56" w:rsidRDefault="008157EA" w:rsidP="00990F6C">
            <w:pPr>
              <w:jc w:val="both"/>
              <w:rPr>
                <w:rFonts w:cs="Arial"/>
                <w:sz w:val="20"/>
              </w:rPr>
            </w:pPr>
            <w:r w:rsidRPr="00B83B56">
              <w:rPr>
                <w:sz w:val="20"/>
              </w:rPr>
              <w:t>Business Risk Reserve</w:t>
            </w:r>
          </w:p>
        </w:tc>
        <w:tc>
          <w:tcPr>
            <w:tcW w:w="2233" w:type="dxa"/>
          </w:tcPr>
          <w:p w14:paraId="3D878EAB" w14:textId="4484B948" w:rsidR="008157EA" w:rsidRPr="00B83B56" w:rsidRDefault="008157EA" w:rsidP="00990F6C">
            <w:pPr>
              <w:jc w:val="right"/>
              <w:rPr>
                <w:rFonts w:cs="Arial"/>
                <w:sz w:val="20"/>
              </w:rPr>
            </w:pPr>
            <w:r w:rsidRPr="00B83B56">
              <w:rPr>
                <w:sz w:val="20"/>
              </w:rPr>
              <w:t>-</w:t>
            </w:r>
            <w:r>
              <w:rPr>
                <w:sz w:val="20"/>
              </w:rPr>
              <w:t>400</w:t>
            </w:r>
          </w:p>
        </w:tc>
      </w:tr>
      <w:tr w:rsidR="008157EA" w:rsidRPr="00B83B56" w14:paraId="09E6CCE2" w14:textId="77777777" w:rsidTr="008157EA">
        <w:tc>
          <w:tcPr>
            <w:tcW w:w="6786" w:type="dxa"/>
          </w:tcPr>
          <w:p w14:paraId="629E4599" w14:textId="5105C9E6" w:rsidR="008157EA" w:rsidRPr="00B83B56" w:rsidRDefault="00A31E33" w:rsidP="00990F6C">
            <w:pPr>
              <w:jc w:val="both"/>
              <w:rPr>
                <w:rFonts w:cs="Arial"/>
                <w:b/>
                <w:bCs/>
                <w:sz w:val="20"/>
              </w:rPr>
            </w:pPr>
            <w:r>
              <w:rPr>
                <w:b/>
                <w:bCs/>
                <w:sz w:val="20"/>
              </w:rPr>
              <w:t>Chief Executive</w:t>
            </w:r>
            <w:r w:rsidR="008157EA" w:rsidRPr="00B83B56">
              <w:rPr>
                <w:b/>
                <w:bCs/>
                <w:sz w:val="20"/>
              </w:rPr>
              <w:t xml:space="preserve"> net draw down</w:t>
            </w:r>
          </w:p>
        </w:tc>
        <w:tc>
          <w:tcPr>
            <w:tcW w:w="2233" w:type="dxa"/>
          </w:tcPr>
          <w:p w14:paraId="6CE0DF63" w14:textId="5EC5F06E" w:rsidR="008157EA" w:rsidRPr="00B83B56" w:rsidRDefault="008157EA" w:rsidP="00990F6C">
            <w:pPr>
              <w:jc w:val="right"/>
              <w:rPr>
                <w:rFonts w:cs="Arial"/>
                <w:b/>
                <w:bCs/>
                <w:sz w:val="20"/>
              </w:rPr>
            </w:pPr>
            <w:r w:rsidRPr="00B83B56">
              <w:rPr>
                <w:b/>
                <w:bCs/>
                <w:sz w:val="20"/>
              </w:rPr>
              <w:t>-</w:t>
            </w:r>
            <w:r>
              <w:rPr>
                <w:b/>
                <w:bCs/>
                <w:sz w:val="20"/>
              </w:rPr>
              <w:t>1,076</w:t>
            </w:r>
          </w:p>
        </w:tc>
      </w:tr>
    </w:tbl>
    <w:p w14:paraId="389B31B1" w14:textId="77777777" w:rsidR="005933AB" w:rsidRDefault="005933AB" w:rsidP="003C7F2F">
      <w:pPr>
        <w:jc w:val="both"/>
        <w:rPr>
          <w:rFonts w:cs="Arial"/>
          <w:b/>
          <w:szCs w:val="24"/>
        </w:rPr>
      </w:pPr>
    </w:p>
    <w:p w14:paraId="650B3789" w14:textId="62CD2DDE" w:rsidR="008157EA" w:rsidRDefault="008157EA" w:rsidP="008157EA">
      <w:pPr>
        <w:pStyle w:val="ListParagraph"/>
        <w:numPr>
          <w:ilvl w:val="0"/>
          <w:numId w:val="4"/>
        </w:numPr>
        <w:ind w:left="567" w:hanging="567"/>
        <w:jc w:val="both"/>
        <w:rPr>
          <w:rFonts w:cs="Arial"/>
          <w:szCs w:val="24"/>
        </w:rPr>
      </w:pPr>
      <w:r>
        <w:rPr>
          <w:rFonts w:cs="Arial"/>
          <w:szCs w:val="24"/>
        </w:rPr>
        <w:t>The net underspend of £575k is made up as follows:</w:t>
      </w:r>
    </w:p>
    <w:p w14:paraId="6B729F2F" w14:textId="77777777" w:rsidR="00B30E97" w:rsidRPr="00B30E97" w:rsidRDefault="00B30E97" w:rsidP="00B30E97">
      <w:pPr>
        <w:pStyle w:val="ListParagraph"/>
        <w:ind w:left="1418"/>
        <w:jc w:val="both"/>
        <w:rPr>
          <w:rFonts w:cs="Arial"/>
          <w:szCs w:val="24"/>
        </w:rPr>
      </w:pPr>
    </w:p>
    <w:p w14:paraId="7A5E7914" w14:textId="4DF92E50" w:rsidR="008157EA" w:rsidRDefault="008157EA" w:rsidP="008157EA">
      <w:pPr>
        <w:pStyle w:val="ListParagraph"/>
        <w:numPr>
          <w:ilvl w:val="1"/>
          <w:numId w:val="4"/>
        </w:numPr>
        <w:ind w:left="1418" w:hanging="567"/>
        <w:jc w:val="both"/>
        <w:rPr>
          <w:rFonts w:cs="Arial"/>
          <w:szCs w:val="24"/>
        </w:rPr>
      </w:pPr>
      <w:r>
        <w:rPr>
          <w:rFonts w:cs="Arial"/>
          <w:b/>
          <w:bCs/>
          <w:szCs w:val="24"/>
        </w:rPr>
        <w:t>Legal &amp; Governance</w:t>
      </w:r>
      <w:r>
        <w:rPr>
          <w:rFonts w:cs="Arial"/>
          <w:szCs w:val="24"/>
        </w:rPr>
        <w:t xml:space="preserve"> – £300k additional income in Registration Services, £61k delayed recruitment in Democratic Services and £202k reduction in projected demand in Legal Services</w:t>
      </w:r>
    </w:p>
    <w:p w14:paraId="7909D403" w14:textId="73570E31" w:rsidR="008157EA" w:rsidRDefault="008157EA" w:rsidP="008157EA">
      <w:pPr>
        <w:pStyle w:val="ListParagraph"/>
        <w:numPr>
          <w:ilvl w:val="1"/>
          <w:numId w:val="4"/>
        </w:numPr>
        <w:ind w:left="1418" w:hanging="567"/>
        <w:jc w:val="both"/>
        <w:rPr>
          <w:rFonts w:cs="Arial"/>
          <w:szCs w:val="24"/>
        </w:rPr>
      </w:pPr>
      <w:r>
        <w:rPr>
          <w:rFonts w:cs="Arial"/>
          <w:b/>
          <w:bCs/>
          <w:szCs w:val="24"/>
        </w:rPr>
        <w:t>Internal Audit/CAFT</w:t>
      </w:r>
      <w:r>
        <w:rPr>
          <w:rFonts w:cs="Arial"/>
          <w:szCs w:val="24"/>
        </w:rPr>
        <w:t xml:space="preserve"> - £12k underspend due to delayed recruitment</w:t>
      </w:r>
    </w:p>
    <w:p w14:paraId="76165C2D" w14:textId="77777777" w:rsidR="00573FF1" w:rsidRDefault="00573FF1" w:rsidP="003C7F2F">
      <w:pPr>
        <w:jc w:val="both"/>
        <w:rPr>
          <w:rFonts w:cs="Arial"/>
          <w:b/>
          <w:szCs w:val="24"/>
        </w:rPr>
      </w:pPr>
    </w:p>
    <w:p w14:paraId="3B1C1755" w14:textId="7E82AC3B" w:rsidR="00F608F4" w:rsidRPr="003C7F2F" w:rsidRDefault="00F608F4" w:rsidP="003C7F2F">
      <w:pPr>
        <w:jc w:val="both"/>
        <w:rPr>
          <w:rFonts w:cs="Arial"/>
          <w:b/>
          <w:szCs w:val="24"/>
        </w:rPr>
      </w:pPr>
      <w:r w:rsidRPr="003C7F2F">
        <w:rPr>
          <w:rFonts w:cs="Arial"/>
          <w:b/>
          <w:szCs w:val="24"/>
        </w:rPr>
        <w:t>RESOURCES</w:t>
      </w:r>
      <w:r w:rsidR="00094111" w:rsidRPr="003C7F2F">
        <w:rPr>
          <w:rFonts w:cs="Arial"/>
          <w:b/>
          <w:szCs w:val="24"/>
        </w:rPr>
        <w:t xml:space="preserve">  </w:t>
      </w:r>
    </w:p>
    <w:p w14:paraId="233F0938" w14:textId="44516390" w:rsidR="00007FDF" w:rsidRDefault="00007FDF" w:rsidP="00007FDF">
      <w:pPr>
        <w:jc w:val="both"/>
        <w:rPr>
          <w:rFonts w:cs="Arial"/>
          <w:b/>
          <w:color w:val="FF0000"/>
          <w:szCs w:val="24"/>
        </w:rPr>
      </w:pPr>
    </w:p>
    <w:p w14:paraId="01656A53" w14:textId="6ED38F8F" w:rsidR="00007FDF" w:rsidRPr="00D665EB" w:rsidRDefault="00D665EB" w:rsidP="00007FDF">
      <w:pPr>
        <w:jc w:val="both"/>
        <w:rPr>
          <w:rFonts w:cs="Arial"/>
          <w:b/>
          <w:color w:val="FF0000"/>
          <w:szCs w:val="24"/>
          <w:u w:val="single"/>
        </w:rPr>
      </w:pPr>
      <w:r w:rsidRPr="00D665EB">
        <w:rPr>
          <w:rFonts w:cs="Arial"/>
          <w:b/>
          <w:szCs w:val="24"/>
          <w:u w:val="single"/>
        </w:rPr>
        <w:t xml:space="preserve">Table </w:t>
      </w:r>
      <w:r w:rsidR="008157EA">
        <w:rPr>
          <w:rFonts w:cs="Arial"/>
          <w:b/>
          <w:szCs w:val="24"/>
          <w:u w:val="single"/>
        </w:rPr>
        <w:t>4</w:t>
      </w:r>
      <w:r w:rsidRPr="00D665EB">
        <w:rPr>
          <w:rFonts w:cs="Arial"/>
          <w:b/>
          <w:szCs w:val="24"/>
          <w:u w:val="single"/>
        </w:rPr>
        <w:t xml:space="preserve">: Resources </w:t>
      </w:r>
      <w:r w:rsidR="00AE44D4">
        <w:rPr>
          <w:rFonts w:cs="Arial"/>
          <w:b/>
          <w:szCs w:val="24"/>
          <w:u w:val="single"/>
        </w:rPr>
        <w:t>Forecast</w:t>
      </w:r>
      <w:r w:rsidRPr="00D665EB">
        <w:rPr>
          <w:rFonts w:cs="Arial"/>
          <w:b/>
          <w:szCs w:val="24"/>
          <w:u w:val="single"/>
        </w:rPr>
        <w:t xml:space="preserve"> Outturn</w:t>
      </w:r>
      <w:r w:rsidR="00AE44D4">
        <w:rPr>
          <w:rFonts w:cs="Arial"/>
          <w:b/>
          <w:szCs w:val="24"/>
          <w:u w:val="single"/>
        </w:rPr>
        <w:t xml:space="preserve"> Q</w:t>
      </w:r>
      <w:r w:rsidR="005933AB">
        <w:rPr>
          <w:rFonts w:cs="Arial"/>
          <w:b/>
          <w:szCs w:val="24"/>
          <w:u w:val="single"/>
        </w:rPr>
        <w:t>2</w:t>
      </w:r>
      <w:r w:rsidRPr="00D665EB">
        <w:rPr>
          <w:rFonts w:cs="Arial"/>
          <w:b/>
          <w:szCs w:val="24"/>
          <w:u w:val="single"/>
        </w:rPr>
        <w:t xml:space="preserve"> 202</w:t>
      </w:r>
      <w:r w:rsidR="00AE44D4">
        <w:rPr>
          <w:rFonts w:cs="Arial"/>
          <w:b/>
          <w:szCs w:val="24"/>
          <w:u w:val="single"/>
        </w:rPr>
        <w:t>2</w:t>
      </w:r>
      <w:r w:rsidRPr="00D665EB">
        <w:rPr>
          <w:rFonts w:cs="Arial"/>
          <w:b/>
          <w:szCs w:val="24"/>
          <w:u w:val="single"/>
        </w:rPr>
        <w:t>-2</w:t>
      </w:r>
      <w:r w:rsidR="00AE44D4">
        <w:rPr>
          <w:rFonts w:cs="Arial"/>
          <w:b/>
          <w:szCs w:val="24"/>
          <w:u w:val="single"/>
        </w:rPr>
        <w:t>3</w:t>
      </w:r>
    </w:p>
    <w:p w14:paraId="3E324DF4" w14:textId="2AE556DB" w:rsidR="00007FDF" w:rsidRDefault="00007FDF" w:rsidP="00007FDF">
      <w:pPr>
        <w:jc w:val="both"/>
        <w:rPr>
          <w:rFonts w:cs="Arial"/>
          <w:b/>
          <w:color w:val="FF0000"/>
          <w:szCs w:val="24"/>
        </w:rPr>
      </w:pPr>
    </w:p>
    <w:tbl>
      <w:tblPr>
        <w:tblStyle w:val="TableGrid"/>
        <w:tblW w:w="10490" w:type="dxa"/>
        <w:tblInd w:w="-572" w:type="dxa"/>
        <w:tblLook w:val="04A0" w:firstRow="1" w:lastRow="0" w:firstColumn="1" w:lastColumn="0" w:noHBand="0" w:noVBand="1"/>
      </w:tblPr>
      <w:tblGrid>
        <w:gridCol w:w="2184"/>
        <w:gridCol w:w="1054"/>
        <w:gridCol w:w="1194"/>
        <w:gridCol w:w="1230"/>
        <w:gridCol w:w="1150"/>
        <w:gridCol w:w="1177"/>
        <w:gridCol w:w="1164"/>
        <w:gridCol w:w="1337"/>
      </w:tblGrid>
      <w:tr w:rsidR="00A31E33" w:rsidRPr="00A31E33" w14:paraId="1024E496" w14:textId="77777777" w:rsidTr="007C5E43">
        <w:tc>
          <w:tcPr>
            <w:tcW w:w="2184" w:type="dxa"/>
            <w:shd w:val="clear" w:color="auto" w:fill="auto"/>
          </w:tcPr>
          <w:p w14:paraId="01D59F85" w14:textId="547AB6BA" w:rsidR="00A31E33" w:rsidRPr="00A31E33" w:rsidRDefault="00A31E33" w:rsidP="00A31E33">
            <w:pPr>
              <w:pStyle w:val="ListParagraph"/>
              <w:ind w:left="0"/>
              <w:jc w:val="both"/>
              <w:rPr>
                <w:rFonts w:cs="Arial"/>
                <w:b/>
                <w:bCs/>
                <w:sz w:val="20"/>
              </w:rPr>
            </w:pPr>
            <w:r w:rsidRPr="00A31E33">
              <w:rPr>
                <w:b/>
                <w:bCs/>
                <w:sz w:val="20"/>
              </w:rPr>
              <w:t>Division</w:t>
            </w:r>
          </w:p>
        </w:tc>
        <w:tc>
          <w:tcPr>
            <w:tcW w:w="1054" w:type="dxa"/>
            <w:shd w:val="clear" w:color="auto" w:fill="auto"/>
          </w:tcPr>
          <w:p w14:paraId="7B5552A8" w14:textId="02C0E427" w:rsidR="00A31E33" w:rsidRPr="00A31E33" w:rsidRDefault="00A31E33" w:rsidP="00A31E33">
            <w:pPr>
              <w:pStyle w:val="ListParagraph"/>
              <w:ind w:left="0"/>
              <w:jc w:val="center"/>
              <w:rPr>
                <w:rFonts w:cs="Arial"/>
                <w:b/>
                <w:bCs/>
                <w:sz w:val="20"/>
              </w:rPr>
            </w:pPr>
            <w:r w:rsidRPr="00A31E33">
              <w:rPr>
                <w:b/>
                <w:bCs/>
                <w:sz w:val="20"/>
              </w:rPr>
              <w:t>Budget</w:t>
            </w:r>
          </w:p>
        </w:tc>
        <w:tc>
          <w:tcPr>
            <w:tcW w:w="1194" w:type="dxa"/>
            <w:shd w:val="clear" w:color="auto" w:fill="auto"/>
          </w:tcPr>
          <w:p w14:paraId="773BE0E3" w14:textId="3CFD52D5" w:rsidR="00A31E33" w:rsidRPr="00A31E33" w:rsidRDefault="00A31E33" w:rsidP="00A31E33">
            <w:pPr>
              <w:pStyle w:val="ListParagraph"/>
              <w:ind w:left="0"/>
              <w:jc w:val="center"/>
              <w:rPr>
                <w:rFonts w:cs="Arial"/>
                <w:b/>
                <w:bCs/>
                <w:sz w:val="20"/>
              </w:rPr>
            </w:pPr>
            <w:r w:rsidRPr="00A31E33">
              <w:rPr>
                <w:b/>
                <w:bCs/>
                <w:sz w:val="20"/>
              </w:rPr>
              <w:t>Forecast</w:t>
            </w:r>
          </w:p>
        </w:tc>
        <w:tc>
          <w:tcPr>
            <w:tcW w:w="1230" w:type="dxa"/>
            <w:shd w:val="clear" w:color="000000" w:fill="FFFFFF"/>
          </w:tcPr>
          <w:p w14:paraId="4F2F5322" w14:textId="5D5F84BB" w:rsidR="00A31E33" w:rsidRPr="00A31E33" w:rsidRDefault="00A31E33" w:rsidP="00A31E33">
            <w:pPr>
              <w:pStyle w:val="ListParagraph"/>
              <w:ind w:left="0"/>
              <w:jc w:val="center"/>
              <w:rPr>
                <w:rFonts w:cs="Arial"/>
                <w:b/>
                <w:bCs/>
                <w:sz w:val="20"/>
              </w:rPr>
            </w:pPr>
            <w:r w:rsidRPr="00A31E33">
              <w:rPr>
                <w:b/>
                <w:bCs/>
                <w:sz w:val="20"/>
              </w:rPr>
              <w:t>To/ (From) Reserves</w:t>
            </w:r>
          </w:p>
        </w:tc>
        <w:tc>
          <w:tcPr>
            <w:tcW w:w="1150" w:type="dxa"/>
            <w:shd w:val="clear" w:color="000000" w:fill="FFFFFF"/>
          </w:tcPr>
          <w:p w14:paraId="65952421" w14:textId="3473D220" w:rsidR="00A31E33" w:rsidRPr="00A31E33" w:rsidRDefault="00A31E33" w:rsidP="00A31E33">
            <w:pPr>
              <w:pStyle w:val="ListParagraph"/>
              <w:ind w:left="0"/>
              <w:jc w:val="center"/>
              <w:rPr>
                <w:rFonts w:cs="Arial"/>
                <w:b/>
                <w:bCs/>
                <w:sz w:val="20"/>
              </w:rPr>
            </w:pPr>
            <w:r w:rsidRPr="00A31E33">
              <w:rPr>
                <w:b/>
                <w:bCs/>
                <w:sz w:val="20"/>
              </w:rPr>
              <w:t>Revised Forecast</w:t>
            </w:r>
          </w:p>
        </w:tc>
        <w:tc>
          <w:tcPr>
            <w:tcW w:w="1177" w:type="dxa"/>
            <w:shd w:val="clear" w:color="000000" w:fill="FFFFFF"/>
          </w:tcPr>
          <w:p w14:paraId="2597EB98" w14:textId="5A50E772" w:rsidR="00A31E33" w:rsidRPr="00A31E33" w:rsidRDefault="00A31E33" w:rsidP="00A31E33">
            <w:pPr>
              <w:pStyle w:val="ListParagraph"/>
              <w:ind w:left="0"/>
              <w:jc w:val="center"/>
              <w:rPr>
                <w:rFonts w:cs="Arial"/>
                <w:b/>
                <w:bCs/>
                <w:sz w:val="20"/>
              </w:rPr>
            </w:pPr>
            <w:r w:rsidRPr="00A31E33">
              <w:rPr>
                <w:b/>
                <w:bCs/>
                <w:sz w:val="20"/>
              </w:rPr>
              <w:t>Variance to budget</w:t>
            </w:r>
          </w:p>
        </w:tc>
        <w:tc>
          <w:tcPr>
            <w:tcW w:w="1164" w:type="dxa"/>
            <w:shd w:val="clear" w:color="auto" w:fill="auto"/>
          </w:tcPr>
          <w:p w14:paraId="2A8B6A94" w14:textId="6CCBE7BD" w:rsidR="00A31E33" w:rsidRPr="00A31E33" w:rsidRDefault="00A31E33" w:rsidP="00A31E33">
            <w:pPr>
              <w:pStyle w:val="ListParagraph"/>
              <w:ind w:left="0"/>
              <w:jc w:val="center"/>
              <w:rPr>
                <w:rFonts w:cs="Arial"/>
                <w:b/>
                <w:bCs/>
                <w:sz w:val="20"/>
              </w:rPr>
            </w:pPr>
            <w:r w:rsidRPr="00A31E33">
              <w:rPr>
                <w:b/>
                <w:bCs/>
                <w:sz w:val="20"/>
              </w:rPr>
              <w:t>Q1 Variance</w:t>
            </w:r>
          </w:p>
        </w:tc>
        <w:tc>
          <w:tcPr>
            <w:tcW w:w="1337" w:type="dxa"/>
            <w:shd w:val="clear" w:color="000000" w:fill="F2F2F2"/>
          </w:tcPr>
          <w:p w14:paraId="41846BB5" w14:textId="65862A01" w:rsidR="00A31E33" w:rsidRPr="00A31E33" w:rsidRDefault="00A31E33" w:rsidP="00A31E33">
            <w:pPr>
              <w:pStyle w:val="ListParagraph"/>
              <w:ind w:left="0"/>
              <w:jc w:val="center"/>
              <w:rPr>
                <w:rFonts w:cs="Arial"/>
                <w:b/>
                <w:bCs/>
                <w:sz w:val="20"/>
              </w:rPr>
            </w:pPr>
            <w:r w:rsidRPr="00A31E33">
              <w:rPr>
                <w:b/>
                <w:bCs/>
                <w:sz w:val="20"/>
              </w:rPr>
              <w:t>Movement to Q1</w:t>
            </w:r>
          </w:p>
        </w:tc>
      </w:tr>
      <w:tr w:rsidR="00A31E33" w:rsidRPr="00A31E33" w14:paraId="6DB2E31D" w14:textId="77777777" w:rsidTr="007C5E43">
        <w:tc>
          <w:tcPr>
            <w:tcW w:w="2184" w:type="dxa"/>
            <w:shd w:val="clear" w:color="auto" w:fill="auto"/>
          </w:tcPr>
          <w:p w14:paraId="48863AA0" w14:textId="77777777" w:rsidR="00A31E33" w:rsidRPr="00A31E33" w:rsidRDefault="00A31E33" w:rsidP="00A31E33">
            <w:pPr>
              <w:pStyle w:val="ListParagraph"/>
              <w:ind w:left="0"/>
              <w:jc w:val="both"/>
              <w:rPr>
                <w:rFonts w:cs="Arial"/>
                <w:b/>
                <w:bCs/>
                <w:sz w:val="20"/>
              </w:rPr>
            </w:pPr>
          </w:p>
        </w:tc>
        <w:tc>
          <w:tcPr>
            <w:tcW w:w="1054" w:type="dxa"/>
            <w:shd w:val="clear" w:color="auto" w:fill="auto"/>
          </w:tcPr>
          <w:p w14:paraId="6083EC55" w14:textId="67065B60" w:rsidR="00A31E33" w:rsidRPr="00A31E33" w:rsidRDefault="00A31E33" w:rsidP="00A31E33">
            <w:pPr>
              <w:pStyle w:val="ListParagraph"/>
              <w:ind w:left="0"/>
              <w:jc w:val="center"/>
              <w:rPr>
                <w:rFonts w:cs="Arial"/>
                <w:b/>
                <w:bCs/>
                <w:sz w:val="20"/>
              </w:rPr>
            </w:pPr>
            <w:r w:rsidRPr="00A31E33">
              <w:rPr>
                <w:b/>
                <w:bCs/>
                <w:sz w:val="20"/>
              </w:rPr>
              <w:t>£000</w:t>
            </w:r>
          </w:p>
        </w:tc>
        <w:tc>
          <w:tcPr>
            <w:tcW w:w="1194" w:type="dxa"/>
            <w:shd w:val="clear" w:color="auto" w:fill="auto"/>
          </w:tcPr>
          <w:p w14:paraId="7261FC32" w14:textId="79EC6B1B" w:rsidR="00A31E33" w:rsidRPr="00A31E33" w:rsidRDefault="00A31E33" w:rsidP="00A31E33">
            <w:pPr>
              <w:pStyle w:val="ListParagraph"/>
              <w:ind w:left="0"/>
              <w:jc w:val="center"/>
              <w:rPr>
                <w:rFonts w:cs="Arial"/>
                <w:b/>
                <w:bCs/>
                <w:sz w:val="20"/>
              </w:rPr>
            </w:pPr>
            <w:r w:rsidRPr="00A31E33">
              <w:rPr>
                <w:b/>
                <w:bCs/>
                <w:sz w:val="20"/>
              </w:rPr>
              <w:t>£000</w:t>
            </w:r>
          </w:p>
        </w:tc>
        <w:tc>
          <w:tcPr>
            <w:tcW w:w="1230" w:type="dxa"/>
            <w:shd w:val="clear" w:color="000000" w:fill="FFFFFF"/>
          </w:tcPr>
          <w:p w14:paraId="341502BA" w14:textId="7DD5E6F6" w:rsidR="00A31E33" w:rsidRPr="00A31E33" w:rsidRDefault="00A31E33" w:rsidP="00A31E33">
            <w:pPr>
              <w:pStyle w:val="ListParagraph"/>
              <w:ind w:left="0"/>
              <w:jc w:val="center"/>
              <w:rPr>
                <w:rFonts w:cs="Arial"/>
                <w:b/>
                <w:bCs/>
                <w:sz w:val="20"/>
              </w:rPr>
            </w:pPr>
            <w:r w:rsidRPr="00A31E33">
              <w:rPr>
                <w:b/>
                <w:bCs/>
                <w:sz w:val="20"/>
              </w:rPr>
              <w:t>£000</w:t>
            </w:r>
          </w:p>
        </w:tc>
        <w:tc>
          <w:tcPr>
            <w:tcW w:w="1150" w:type="dxa"/>
            <w:shd w:val="clear" w:color="000000" w:fill="FFFFFF"/>
          </w:tcPr>
          <w:p w14:paraId="25165717" w14:textId="120A6AD3" w:rsidR="00A31E33" w:rsidRPr="00A31E33" w:rsidRDefault="00A31E33" w:rsidP="00A31E33">
            <w:pPr>
              <w:pStyle w:val="ListParagraph"/>
              <w:ind w:left="0"/>
              <w:jc w:val="center"/>
              <w:rPr>
                <w:rFonts w:cs="Arial"/>
                <w:b/>
                <w:bCs/>
                <w:sz w:val="20"/>
              </w:rPr>
            </w:pPr>
            <w:r w:rsidRPr="00A31E33">
              <w:rPr>
                <w:b/>
                <w:bCs/>
                <w:sz w:val="20"/>
              </w:rPr>
              <w:t>£000</w:t>
            </w:r>
          </w:p>
        </w:tc>
        <w:tc>
          <w:tcPr>
            <w:tcW w:w="1177" w:type="dxa"/>
            <w:shd w:val="clear" w:color="000000" w:fill="FFFFFF"/>
          </w:tcPr>
          <w:p w14:paraId="6517C5B3" w14:textId="34B0D315" w:rsidR="00A31E33" w:rsidRPr="00A31E33" w:rsidRDefault="00A31E33" w:rsidP="00A31E33">
            <w:pPr>
              <w:pStyle w:val="ListParagraph"/>
              <w:ind w:left="0"/>
              <w:jc w:val="center"/>
              <w:rPr>
                <w:rFonts w:cs="Arial"/>
                <w:b/>
                <w:bCs/>
                <w:sz w:val="20"/>
              </w:rPr>
            </w:pPr>
            <w:r w:rsidRPr="00A31E33">
              <w:rPr>
                <w:b/>
                <w:bCs/>
                <w:sz w:val="20"/>
              </w:rPr>
              <w:t>£000</w:t>
            </w:r>
          </w:p>
        </w:tc>
        <w:tc>
          <w:tcPr>
            <w:tcW w:w="1164" w:type="dxa"/>
            <w:shd w:val="clear" w:color="auto" w:fill="auto"/>
          </w:tcPr>
          <w:p w14:paraId="2039C4F1" w14:textId="7E9E8978" w:rsidR="00A31E33" w:rsidRPr="00A31E33" w:rsidRDefault="00A31E33" w:rsidP="00A31E33">
            <w:pPr>
              <w:pStyle w:val="ListParagraph"/>
              <w:ind w:left="0"/>
              <w:jc w:val="center"/>
              <w:rPr>
                <w:rFonts w:cs="Arial"/>
                <w:b/>
                <w:bCs/>
                <w:sz w:val="20"/>
              </w:rPr>
            </w:pPr>
            <w:r w:rsidRPr="00A31E33">
              <w:rPr>
                <w:b/>
                <w:bCs/>
                <w:sz w:val="20"/>
              </w:rPr>
              <w:t>£000</w:t>
            </w:r>
          </w:p>
        </w:tc>
        <w:tc>
          <w:tcPr>
            <w:tcW w:w="1337" w:type="dxa"/>
            <w:shd w:val="clear" w:color="000000" w:fill="F2F2F2"/>
          </w:tcPr>
          <w:p w14:paraId="63451E93" w14:textId="230CAD51" w:rsidR="00A31E33" w:rsidRPr="00A31E33" w:rsidRDefault="00A31E33" w:rsidP="00A31E33">
            <w:pPr>
              <w:pStyle w:val="ListParagraph"/>
              <w:ind w:left="0"/>
              <w:jc w:val="center"/>
              <w:rPr>
                <w:rFonts w:cs="Arial"/>
                <w:b/>
                <w:bCs/>
                <w:sz w:val="20"/>
              </w:rPr>
            </w:pPr>
            <w:r w:rsidRPr="00A31E33">
              <w:rPr>
                <w:b/>
                <w:bCs/>
                <w:sz w:val="20"/>
              </w:rPr>
              <w:t>£000</w:t>
            </w:r>
          </w:p>
        </w:tc>
      </w:tr>
      <w:tr w:rsidR="008157EA" w:rsidRPr="00A31E33" w14:paraId="38537521" w14:textId="77777777" w:rsidTr="007C5E43">
        <w:tc>
          <w:tcPr>
            <w:tcW w:w="2184" w:type="dxa"/>
            <w:shd w:val="clear" w:color="auto" w:fill="auto"/>
          </w:tcPr>
          <w:p w14:paraId="67FBE13D" w14:textId="2B604C3D" w:rsidR="008157EA" w:rsidRPr="00A31E33" w:rsidRDefault="008157EA" w:rsidP="008157EA">
            <w:pPr>
              <w:pStyle w:val="ListParagraph"/>
              <w:ind w:left="0"/>
              <w:jc w:val="both"/>
              <w:rPr>
                <w:rFonts w:cs="Arial"/>
                <w:bCs/>
                <w:sz w:val="20"/>
              </w:rPr>
            </w:pPr>
            <w:r w:rsidRPr="00A31E33">
              <w:rPr>
                <w:sz w:val="20"/>
              </w:rPr>
              <w:t>Business Support</w:t>
            </w:r>
          </w:p>
        </w:tc>
        <w:tc>
          <w:tcPr>
            <w:tcW w:w="1054" w:type="dxa"/>
            <w:shd w:val="clear" w:color="auto" w:fill="auto"/>
          </w:tcPr>
          <w:p w14:paraId="44FCBE99" w14:textId="285998BA" w:rsidR="008157EA" w:rsidRPr="00A31E33" w:rsidRDefault="008157EA" w:rsidP="00A31E33">
            <w:pPr>
              <w:pStyle w:val="ListParagraph"/>
              <w:ind w:left="0"/>
              <w:jc w:val="right"/>
              <w:rPr>
                <w:rFonts w:cs="Arial"/>
                <w:bCs/>
                <w:sz w:val="20"/>
              </w:rPr>
            </w:pPr>
            <w:r w:rsidRPr="00A31E33">
              <w:rPr>
                <w:sz w:val="20"/>
              </w:rPr>
              <w:t>3,361</w:t>
            </w:r>
          </w:p>
        </w:tc>
        <w:tc>
          <w:tcPr>
            <w:tcW w:w="1194" w:type="dxa"/>
            <w:shd w:val="clear" w:color="auto" w:fill="auto"/>
          </w:tcPr>
          <w:p w14:paraId="02BFB717" w14:textId="1044E5E0" w:rsidR="008157EA" w:rsidRPr="00A31E33" w:rsidRDefault="008157EA" w:rsidP="00A31E33">
            <w:pPr>
              <w:pStyle w:val="ListParagraph"/>
              <w:ind w:left="0"/>
              <w:jc w:val="right"/>
              <w:rPr>
                <w:rFonts w:cs="Arial"/>
                <w:bCs/>
                <w:sz w:val="20"/>
              </w:rPr>
            </w:pPr>
            <w:r w:rsidRPr="00A31E33">
              <w:rPr>
                <w:sz w:val="20"/>
              </w:rPr>
              <w:t>3,412</w:t>
            </w:r>
          </w:p>
        </w:tc>
        <w:tc>
          <w:tcPr>
            <w:tcW w:w="1230" w:type="dxa"/>
            <w:shd w:val="clear" w:color="000000" w:fill="FFFFFF"/>
          </w:tcPr>
          <w:p w14:paraId="0FDFA209" w14:textId="3E336EBC" w:rsidR="008157EA" w:rsidRPr="00A31E33" w:rsidRDefault="008157EA" w:rsidP="00A31E33">
            <w:pPr>
              <w:pStyle w:val="ListParagraph"/>
              <w:ind w:left="0"/>
              <w:jc w:val="right"/>
              <w:rPr>
                <w:rFonts w:cs="Arial"/>
                <w:bCs/>
                <w:sz w:val="20"/>
              </w:rPr>
            </w:pPr>
            <w:r w:rsidRPr="00A31E33">
              <w:rPr>
                <w:sz w:val="20"/>
              </w:rPr>
              <w:t>0</w:t>
            </w:r>
          </w:p>
        </w:tc>
        <w:tc>
          <w:tcPr>
            <w:tcW w:w="1150" w:type="dxa"/>
            <w:shd w:val="clear" w:color="000000" w:fill="FFFFFF"/>
          </w:tcPr>
          <w:p w14:paraId="1157DAFD" w14:textId="562BEA27" w:rsidR="008157EA" w:rsidRPr="00A31E33" w:rsidRDefault="008157EA" w:rsidP="00A31E33">
            <w:pPr>
              <w:pStyle w:val="ListParagraph"/>
              <w:ind w:left="0"/>
              <w:jc w:val="right"/>
              <w:rPr>
                <w:rFonts w:cs="Arial"/>
                <w:bCs/>
                <w:sz w:val="20"/>
              </w:rPr>
            </w:pPr>
            <w:r w:rsidRPr="00A31E33">
              <w:rPr>
                <w:sz w:val="20"/>
              </w:rPr>
              <w:t>3,412</w:t>
            </w:r>
          </w:p>
        </w:tc>
        <w:tc>
          <w:tcPr>
            <w:tcW w:w="1177" w:type="dxa"/>
            <w:shd w:val="clear" w:color="000000" w:fill="FFFFFF"/>
          </w:tcPr>
          <w:p w14:paraId="7278CA5D" w14:textId="6DC2BB6C" w:rsidR="008157EA" w:rsidRPr="00A31E33" w:rsidRDefault="008157EA" w:rsidP="00A31E33">
            <w:pPr>
              <w:pStyle w:val="ListParagraph"/>
              <w:ind w:left="0"/>
              <w:jc w:val="right"/>
              <w:rPr>
                <w:rFonts w:cs="Arial"/>
                <w:bCs/>
                <w:sz w:val="20"/>
              </w:rPr>
            </w:pPr>
            <w:r w:rsidRPr="00A31E33">
              <w:rPr>
                <w:sz w:val="20"/>
              </w:rPr>
              <w:t>51</w:t>
            </w:r>
          </w:p>
        </w:tc>
        <w:tc>
          <w:tcPr>
            <w:tcW w:w="1164" w:type="dxa"/>
            <w:shd w:val="clear" w:color="auto" w:fill="auto"/>
          </w:tcPr>
          <w:p w14:paraId="2A3182D2" w14:textId="629D1598" w:rsidR="008157EA" w:rsidRPr="00A31E33" w:rsidRDefault="008157EA" w:rsidP="00A31E33">
            <w:pPr>
              <w:pStyle w:val="ListParagraph"/>
              <w:ind w:left="0"/>
              <w:jc w:val="right"/>
              <w:rPr>
                <w:rFonts w:cs="Arial"/>
                <w:bCs/>
                <w:sz w:val="20"/>
              </w:rPr>
            </w:pPr>
            <w:r w:rsidRPr="00A31E33">
              <w:rPr>
                <w:sz w:val="20"/>
              </w:rPr>
              <w:t>40</w:t>
            </w:r>
          </w:p>
        </w:tc>
        <w:tc>
          <w:tcPr>
            <w:tcW w:w="1337" w:type="dxa"/>
            <w:shd w:val="clear" w:color="000000" w:fill="F2F2F2"/>
          </w:tcPr>
          <w:p w14:paraId="48747FB1" w14:textId="3F524FB2" w:rsidR="008157EA" w:rsidRPr="00A31E33" w:rsidRDefault="008157EA" w:rsidP="00A31E33">
            <w:pPr>
              <w:pStyle w:val="ListParagraph"/>
              <w:ind w:left="0"/>
              <w:jc w:val="right"/>
              <w:rPr>
                <w:rFonts w:cs="Arial"/>
                <w:bCs/>
                <w:sz w:val="20"/>
              </w:rPr>
            </w:pPr>
            <w:r w:rsidRPr="00A31E33">
              <w:rPr>
                <w:sz w:val="20"/>
              </w:rPr>
              <w:t>11</w:t>
            </w:r>
          </w:p>
        </w:tc>
      </w:tr>
      <w:tr w:rsidR="008157EA" w:rsidRPr="00A31E33" w14:paraId="0AECC089" w14:textId="77777777" w:rsidTr="007C5E43">
        <w:tc>
          <w:tcPr>
            <w:tcW w:w="2184" w:type="dxa"/>
            <w:shd w:val="clear" w:color="auto" w:fill="auto"/>
          </w:tcPr>
          <w:p w14:paraId="3334C03E" w14:textId="53C83395" w:rsidR="008157EA" w:rsidRPr="00A31E33" w:rsidRDefault="008157EA" w:rsidP="008157EA">
            <w:pPr>
              <w:pStyle w:val="ListParagraph"/>
              <w:ind w:left="0"/>
              <w:jc w:val="both"/>
              <w:rPr>
                <w:rFonts w:cs="Arial"/>
                <w:sz w:val="20"/>
              </w:rPr>
            </w:pPr>
            <w:r w:rsidRPr="00A31E33">
              <w:rPr>
                <w:sz w:val="20"/>
              </w:rPr>
              <w:t>Management</w:t>
            </w:r>
          </w:p>
        </w:tc>
        <w:tc>
          <w:tcPr>
            <w:tcW w:w="1054" w:type="dxa"/>
            <w:shd w:val="clear" w:color="auto" w:fill="auto"/>
          </w:tcPr>
          <w:p w14:paraId="09BFC8B8" w14:textId="426FC5C1" w:rsidR="008157EA" w:rsidRPr="00A31E33" w:rsidRDefault="008157EA" w:rsidP="00A31E33">
            <w:pPr>
              <w:pStyle w:val="ListParagraph"/>
              <w:ind w:left="0"/>
              <w:jc w:val="right"/>
              <w:rPr>
                <w:rFonts w:cs="Arial"/>
                <w:sz w:val="20"/>
              </w:rPr>
            </w:pPr>
            <w:r w:rsidRPr="00A31E33">
              <w:rPr>
                <w:sz w:val="20"/>
              </w:rPr>
              <w:t>542</w:t>
            </w:r>
          </w:p>
        </w:tc>
        <w:tc>
          <w:tcPr>
            <w:tcW w:w="1194" w:type="dxa"/>
            <w:shd w:val="clear" w:color="auto" w:fill="auto"/>
          </w:tcPr>
          <w:p w14:paraId="74C145EE" w14:textId="550242CC" w:rsidR="008157EA" w:rsidRPr="00A31E33" w:rsidRDefault="008157EA" w:rsidP="00A31E33">
            <w:pPr>
              <w:pStyle w:val="ListParagraph"/>
              <w:ind w:left="0"/>
              <w:jc w:val="right"/>
              <w:rPr>
                <w:rFonts w:cs="Arial"/>
                <w:sz w:val="20"/>
              </w:rPr>
            </w:pPr>
            <w:r w:rsidRPr="00A31E33">
              <w:rPr>
                <w:sz w:val="20"/>
              </w:rPr>
              <w:t>1,110</w:t>
            </w:r>
          </w:p>
        </w:tc>
        <w:tc>
          <w:tcPr>
            <w:tcW w:w="1230" w:type="dxa"/>
            <w:shd w:val="clear" w:color="000000" w:fill="FFFFFF"/>
          </w:tcPr>
          <w:p w14:paraId="35A4BE96" w14:textId="52C9631A" w:rsidR="008157EA" w:rsidRPr="00A31E33" w:rsidRDefault="008157EA" w:rsidP="00A31E33">
            <w:pPr>
              <w:pStyle w:val="ListParagraph"/>
              <w:ind w:left="0"/>
              <w:jc w:val="right"/>
              <w:rPr>
                <w:rFonts w:cs="Arial"/>
                <w:sz w:val="20"/>
              </w:rPr>
            </w:pPr>
            <w:r w:rsidRPr="00A31E33">
              <w:rPr>
                <w:sz w:val="20"/>
              </w:rPr>
              <w:t>-590</w:t>
            </w:r>
          </w:p>
        </w:tc>
        <w:tc>
          <w:tcPr>
            <w:tcW w:w="1150" w:type="dxa"/>
            <w:shd w:val="clear" w:color="000000" w:fill="FFFFFF"/>
          </w:tcPr>
          <w:p w14:paraId="0C30558A" w14:textId="12EBB1DE" w:rsidR="008157EA" w:rsidRPr="00A31E33" w:rsidRDefault="008157EA" w:rsidP="00A31E33">
            <w:pPr>
              <w:pStyle w:val="ListParagraph"/>
              <w:ind w:left="0"/>
              <w:jc w:val="right"/>
              <w:rPr>
                <w:rFonts w:cs="Arial"/>
                <w:sz w:val="20"/>
              </w:rPr>
            </w:pPr>
            <w:r w:rsidRPr="00A31E33">
              <w:rPr>
                <w:sz w:val="20"/>
              </w:rPr>
              <w:t>520</w:t>
            </w:r>
          </w:p>
        </w:tc>
        <w:tc>
          <w:tcPr>
            <w:tcW w:w="1177" w:type="dxa"/>
            <w:shd w:val="clear" w:color="000000" w:fill="FFFFFF"/>
          </w:tcPr>
          <w:p w14:paraId="354E48D4" w14:textId="771347D2" w:rsidR="008157EA" w:rsidRPr="00A31E33" w:rsidRDefault="008157EA" w:rsidP="00A31E33">
            <w:pPr>
              <w:pStyle w:val="ListParagraph"/>
              <w:ind w:left="0"/>
              <w:jc w:val="right"/>
              <w:rPr>
                <w:rFonts w:cs="Arial"/>
                <w:sz w:val="20"/>
              </w:rPr>
            </w:pPr>
            <w:r w:rsidRPr="00A31E33">
              <w:rPr>
                <w:sz w:val="20"/>
              </w:rPr>
              <w:t>-22</w:t>
            </w:r>
          </w:p>
        </w:tc>
        <w:tc>
          <w:tcPr>
            <w:tcW w:w="1164" w:type="dxa"/>
            <w:shd w:val="clear" w:color="auto" w:fill="auto"/>
          </w:tcPr>
          <w:p w14:paraId="4D10697A" w14:textId="39B729A4" w:rsidR="008157EA" w:rsidRPr="00A31E33" w:rsidRDefault="008157EA" w:rsidP="00A31E33">
            <w:pPr>
              <w:pStyle w:val="ListParagraph"/>
              <w:ind w:left="0"/>
              <w:jc w:val="right"/>
              <w:rPr>
                <w:rFonts w:cs="Arial"/>
                <w:sz w:val="20"/>
              </w:rPr>
            </w:pPr>
            <w:r w:rsidRPr="00A31E33">
              <w:rPr>
                <w:sz w:val="20"/>
              </w:rPr>
              <w:t>14</w:t>
            </w:r>
          </w:p>
        </w:tc>
        <w:tc>
          <w:tcPr>
            <w:tcW w:w="1337" w:type="dxa"/>
            <w:shd w:val="clear" w:color="000000" w:fill="F2F2F2"/>
          </w:tcPr>
          <w:p w14:paraId="09AB47C3" w14:textId="42C55736" w:rsidR="008157EA" w:rsidRPr="00A31E33" w:rsidRDefault="008157EA" w:rsidP="00A31E33">
            <w:pPr>
              <w:pStyle w:val="ListParagraph"/>
              <w:ind w:left="0"/>
              <w:jc w:val="right"/>
              <w:rPr>
                <w:rFonts w:cs="Arial"/>
                <w:sz w:val="20"/>
              </w:rPr>
            </w:pPr>
            <w:r w:rsidRPr="00A31E33">
              <w:rPr>
                <w:sz w:val="20"/>
              </w:rPr>
              <w:t>-36</w:t>
            </w:r>
          </w:p>
        </w:tc>
      </w:tr>
      <w:tr w:rsidR="008157EA" w:rsidRPr="00A31E33" w14:paraId="6005AF59" w14:textId="77777777" w:rsidTr="007C5E43">
        <w:tc>
          <w:tcPr>
            <w:tcW w:w="2184" w:type="dxa"/>
            <w:shd w:val="clear" w:color="auto" w:fill="auto"/>
          </w:tcPr>
          <w:p w14:paraId="24126C55" w14:textId="27AF9C45" w:rsidR="008157EA" w:rsidRPr="00A31E33" w:rsidRDefault="008157EA" w:rsidP="008157EA">
            <w:pPr>
              <w:pStyle w:val="ListParagraph"/>
              <w:ind w:left="0"/>
              <w:jc w:val="both"/>
              <w:rPr>
                <w:rFonts w:cs="Arial"/>
                <w:sz w:val="20"/>
              </w:rPr>
            </w:pPr>
            <w:r w:rsidRPr="00A31E33">
              <w:rPr>
                <w:sz w:val="20"/>
              </w:rPr>
              <w:t xml:space="preserve">Strategy </w:t>
            </w:r>
          </w:p>
        </w:tc>
        <w:tc>
          <w:tcPr>
            <w:tcW w:w="1054" w:type="dxa"/>
            <w:shd w:val="clear" w:color="auto" w:fill="auto"/>
          </w:tcPr>
          <w:p w14:paraId="71D2CCB9" w14:textId="170ABAE4" w:rsidR="008157EA" w:rsidRPr="00A31E33" w:rsidRDefault="008157EA" w:rsidP="00A31E33">
            <w:pPr>
              <w:pStyle w:val="ListParagraph"/>
              <w:ind w:left="0"/>
              <w:jc w:val="right"/>
              <w:rPr>
                <w:rFonts w:cs="Arial"/>
                <w:sz w:val="20"/>
              </w:rPr>
            </w:pPr>
            <w:r w:rsidRPr="00A31E33">
              <w:rPr>
                <w:sz w:val="20"/>
              </w:rPr>
              <w:t>2,841</w:t>
            </w:r>
          </w:p>
        </w:tc>
        <w:tc>
          <w:tcPr>
            <w:tcW w:w="1194" w:type="dxa"/>
            <w:shd w:val="clear" w:color="auto" w:fill="auto"/>
          </w:tcPr>
          <w:p w14:paraId="74D84C76" w14:textId="11B07CAC" w:rsidR="008157EA" w:rsidRPr="00A31E33" w:rsidRDefault="008157EA" w:rsidP="00A31E33">
            <w:pPr>
              <w:pStyle w:val="ListParagraph"/>
              <w:ind w:left="0"/>
              <w:jc w:val="right"/>
              <w:rPr>
                <w:rFonts w:cs="Arial"/>
                <w:sz w:val="20"/>
              </w:rPr>
            </w:pPr>
            <w:r w:rsidRPr="00A31E33">
              <w:rPr>
                <w:sz w:val="20"/>
              </w:rPr>
              <w:t>3,080</w:t>
            </w:r>
          </w:p>
        </w:tc>
        <w:tc>
          <w:tcPr>
            <w:tcW w:w="1230" w:type="dxa"/>
            <w:shd w:val="clear" w:color="000000" w:fill="FFFFFF"/>
          </w:tcPr>
          <w:p w14:paraId="28FA2E99" w14:textId="3AAB7CAB" w:rsidR="008157EA" w:rsidRPr="00A31E33" w:rsidRDefault="008157EA" w:rsidP="00A31E33">
            <w:pPr>
              <w:pStyle w:val="ListParagraph"/>
              <w:ind w:left="0"/>
              <w:jc w:val="right"/>
              <w:rPr>
                <w:rFonts w:cs="Arial"/>
                <w:sz w:val="20"/>
              </w:rPr>
            </w:pPr>
            <w:r w:rsidRPr="00A31E33">
              <w:rPr>
                <w:sz w:val="20"/>
              </w:rPr>
              <w:t>-325</w:t>
            </w:r>
          </w:p>
        </w:tc>
        <w:tc>
          <w:tcPr>
            <w:tcW w:w="1150" w:type="dxa"/>
            <w:shd w:val="clear" w:color="000000" w:fill="FFFFFF"/>
          </w:tcPr>
          <w:p w14:paraId="20DA746F" w14:textId="5FDA9013" w:rsidR="008157EA" w:rsidRPr="00A31E33" w:rsidRDefault="008157EA" w:rsidP="00A31E33">
            <w:pPr>
              <w:pStyle w:val="ListParagraph"/>
              <w:ind w:left="0"/>
              <w:jc w:val="right"/>
              <w:rPr>
                <w:rFonts w:cs="Arial"/>
                <w:sz w:val="20"/>
              </w:rPr>
            </w:pPr>
            <w:r w:rsidRPr="00A31E33">
              <w:rPr>
                <w:sz w:val="20"/>
              </w:rPr>
              <w:t>2,755</w:t>
            </w:r>
          </w:p>
        </w:tc>
        <w:tc>
          <w:tcPr>
            <w:tcW w:w="1177" w:type="dxa"/>
            <w:shd w:val="clear" w:color="000000" w:fill="FFFFFF"/>
          </w:tcPr>
          <w:p w14:paraId="77B1796C" w14:textId="5ED60E94" w:rsidR="008157EA" w:rsidRPr="00A31E33" w:rsidRDefault="008157EA" w:rsidP="00A31E33">
            <w:pPr>
              <w:pStyle w:val="ListParagraph"/>
              <w:ind w:left="0"/>
              <w:jc w:val="right"/>
              <w:rPr>
                <w:rFonts w:cs="Arial"/>
                <w:sz w:val="20"/>
              </w:rPr>
            </w:pPr>
            <w:r w:rsidRPr="00A31E33">
              <w:rPr>
                <w:sz w:val="20"/>
              </w:rPr>
              <w:t>-86</w:t>
            </w:r>
          </w:p>
        </w:tc>
        <w:tc>
          <w:tcPr>
            <w:tcW w:w="1164" w:type="dxa"/>
            <w:shd w:val="clear" w:color="auto" w:fill="auto"/>
          </w:tcPr>
          <w:p w14:paraId="43491389" w14:textId="54FA3043" w:rsidR="008157EA" w:rsidRPr="00A31E33" w:rsidRDefault="008157EA" w:rsidP="00A31E33">
            <w:pPr>
              <w:pStyle w:val="ListParagraph"/>
              <w:ind w:left="0"/>
              <w:jc w:val="right"/>
              <w:rPr>
                <w:rFonts w:cs="Arial"/>
                <w:sz w:val="20"/>
              </w:rPr>
            </w:pPr>
            <w:r w:rsidRPr="00A31E33">
              <w:rPr>
                <w:sz w:val="20"/>
              </w:rPr>
              <w:t>117</w:t>
            </w:r>
          </w:p>
        </w:tc>
        <w:tc>
          <w:tcPr>
            <w:tcW w:w="1337" w:type="dxa"/>
            <w:shd w:val="clear" w:color="000000" w:fill="F2F2F2"/>
          </w:tcPr>
          <w:p w14:paraId="657F4EFA" w14:textId="1D1A54C8" w:rsidR="008157EA" w:rsidRPr="00A31E33" w:rsidRDefault="008157EA" w:rsidP="00A31E33">
            <w:pPr>
              <w:pStyle w:val="ListParagraph"/>
              <w:ind w:left="0"/>
              <w:jc w:val="right"/>
              <w:rPr>
                <w:rFonts w:cs="Arial"/>
                <w:sz w:val="20"/>
              </w:rPr>
            </w:pPr>
            <w:r w:rsidRPr="00A31E33">
              <w:rPr>
                <w:sz w:val="20"/>
              </w:rPr>
              <w:t>-203</w:t>
            </w:r>
          </w:p>
        </w:tc>
      </w:tr>
      <w:tr w:rsidR="008157EA" w:rsidRPr="00A31E33" w14:paraId="1E99B1E5" w14:textId="77777777" w:rsidTr="007C5E43">
        <w:tc>
          <w:tcPr>
            <w:tcW w:w="2184" w:type="dxa"/>
            <w:shd w:val="clear" w:color="auto" w:fill="auto"/>
          </w:tcPr>
          <w:p w14:paraId="0DC81143" w14:textId="1633395A" w:rsidR="008157EA" w:rsidRPr="00A31E33" w:rsidRDefault="008157EA" w:rsidP="008157EA">
            <w:pPr>
              <w:pStyle w:val="ListParagraph"/>
              <w:ind w:left="0"/>
              <w:jc w:val="both"/>
              <w:rPr>
                <w:rFonts w:cs="Arial"/>
                <w:sz w:val="20"/>
              </w:rPr>
            </w:pPr>
            <w:r w:rsidRPr="00A31E33">
              <w:rPr>
                <w:sz w:val="20"/>
              </w:rPr>
              <w:t>ICT</w:t>
            </w:r>
          </w:p>
        </w:tc>
        <w:tc>
          <w:tcPr>
            <w:tcW w:w="1054" w:type="dxa"/>
            <w:shd w:val="clear" w:color="auto" w:fill="auto"/>
          </w:tcPr>
          <w:p w14:paraId="4F4AEBF0" w14:textId="462BEA1E" w:rsidR="008157EA" w:rsidRPr="00A31E33" w:rsidRDefault="008157EA" w:rsidP="00A31E33">
            <w:pPr>
              <w:pStyle w:val="ListParagraph"/>
              <w:ind w:left="0"/>
              <w:jc w:val="right"/>
              <w:rPr>
                <w:rFonts w:cs="Arial"/>
                <w:sz w:val="20"/>
              </w:rPr>
            </w:pPr>
            <w:r w:rsidRPr="00A31E33">
              <w:rPr>
                <w:sz w:val="20"/>
              </w:rPr>
              <w:t>7,455</w:t>
            </w:r>
          </w:p>
        </w:tc>
        <w:tc>
          <w:tcPr>
            <w:tcW w:w="1194" w:type="dxa"/>
            <w:shd w:val="clear" w:color="auto" w:fill="auto"/>
          </w:tcPr>
          <w:p w14:paraId="56AAE855" w14:textId="1DC15220" w:rsidR="008157EA" w:rsidRPr="00A31E33" w:rsidRDefault="008157EA" w:rsidP="00A31E33">
            <w:pPr>
              <w:pStyle w:val="ListParagraph"/>
              <w:ind w:left="0"/>
              <w:jc w:val="right"/>
              <w:rPr>
                <w:rFonts w:cs="Arial"/>
                <w:sz w:val="20"/>
              </w:rPr>
            </w:pPr>
            <w:r w:rsidRPr="00A31E33">
              <w:rPr>
                <w:sz w:val="20"/>
              </w:rPr>
              <w:t>7,548</w:t>
            </w:r>
          </w:p>
        </w:tc>
        <w:tc>
          <w:tcPr>
            <w:tcW w:w="1230" w:type="dxa"/>
            <w:shd w:val="clear" w:color="000000" w:fill="FFFFFF"/>
          </w:tcPr>
          <w:p w14:paraId="759FF0D9" w14:textId="1C784535" w:rsidR="008157EA" w:rsidRPr="00A31E33" w:rsidRDefault="008157EA" w:rsidP="00A31E33">
            <w:pPr>
              <w:pStyle w:val="ListParagraph"/>
              <w:ind w:left="0"/>
              <w:jc w:val="right"/>
              <w:rPr>
                <w:rFonts w:cs="Arial"/>
                <w:sz w:val="20"/>
              </w:rPr>
            </w:pPr>
            <w:r w:rsidRPr="00A31E33">
              <w:rPr>
                <w:sz w:val="20"/>
              </w:rPr>
              <w:t>-80</w:t>
            </w:r>
          </w:p>
        </w:tc>
        <w:tc>
          <w:tcPr>
            <w:tcW w:w="1150" w:type="dxa"/>
            <w:shd w:val="clear" w:color="000000" w:fill="FFFFFF"/>
          </w:tcPr>
          <w:p w14:paraId="13E7AB39" w14:textId="4D03C2D7" w:rsidR="008157EA" w:rsidRPr="00A31E33" w:rsidRDefault="008157EA" w:rsidP="00A31E33">
            <w:pPr>
              <w:pStyle w:val="ListParagraph"/>
              <w:ind w:left="0"/>
              <w:jc w:val="right"/>
              <w:rPr>
                <w:rFonts w:cs="Arial"/>
                <w:sz w:val="20"/>
              </w:rPr>
            </w:pPr>
            <w:r w:rsidRPr="00A31E33">
              <w:rPr>
                <w:sz w:val="20"/>
              </w:rPr>
              <w:t>7,468</w:t>
            </w:r>
          </w:p>
        </w:tc>
        <w:tc>
          <w:tcPr>
            <w:tcW w:w="1177" w:type="dxa"/>
            <w:shd w:val="clear" w:color="000000" w:fill="FFFFFF"/>
          </w:tcPr>
          <w:p w14:paraId="39A05CE2" w14:textId="2456A1FA" w:rsidR="008157EA" w:rsidRPr="00A31E33" w:rsidRDefault="008157EA" w:rsidP="00A31E33">
            <w:pPr>
              <w:pStyle w:val="ListParagraph"/>
              <w:ind w:left="0"/>
              <w:jc w:val="right"/>
              <w:rPr>
                <w:rFonts w:cs="Arial"/>
                <w:sz w:val="20"/>
              </w:rPr>
            </w:pPr>
            <w:r w:rsidRPr="00A31E33">
              <w:rPr>
                <w:sz w:val="20"/>
              </w:rPr>
              <w:t>13</w:t>
            </w:r>
          </w:p>
        </w:tc>
        <w:tc>
          <w:tcPr>
            <w:tcW w:w="1164" w:type="dxa"/>
            <w:shd w:val="clear" w:color="auto" w:fill="auto"/>
          </w:tcPr>
          <w:p w14:paraId="33A784B5" w14:textId="2A90AE91" w:rsidR="008157EA" w:rsidRPr="00A31E33" w:rsidRDefault="008157EA" w:rsidP="00A31E33">
            <w:pPr>
              <w:pStyle w:val="ListParagraph"/>
              <w:ind w:left="0"/>
              <w:jc w:val="right"/>
              <w:rPr>
                <w:rFonts w:cs="Arial"/>
                <w:sz w:val="20"/>
              </w:rPr>
            </w:pPr>
            <w:r w:rsidRPr="00A31E33">
              <w:rPr>
                <w:sz w:val="20"/>
              </w:rPr>
              <w:t>12</w:t>
            </w:r>
          </w:p>
        </w:tc>
        <w:tc>
          <w:tcPr>
            <w:tcW w:w="1337" w:type="dxa"/>
            <w:shd w:val="clear" w:color="000000" w:fill="F2F2F2"/>
          </w:tcPr>
          <w:p w14:paraId="3C9AED98" w14:textId="0B85B3BD" w:rsidR="008157EA" w:rsidRPr="00A31E33" w:rsidRDefault="008157EA" w:rsidP="00A31E33">
            <w:pPr>
              <w:pStyle w:val="ListParagraph"/>
              <w:ind w:left="0"/>
              <w:jc w:val="right"/>
              <w:rPr>
                <w:rFonts w:cs="Arial"/>
                <w:sz w:val="20"/>
              </w:rPr>
            </w:pPr>
            <w:r w:rsidRPr="00A31E33">
              <w:rPr>
                <w:sz w:val="20"/>
              </w:rPr>
              <w:t>1</w:t>
            </w:r>
          </w:p>
        </w:tc>
      </w:tr>
      <w:tr w:rsidR="008157EA" w:rsidRPr="00A31E33" w14:paraId="53F81A42" w14:textId="77777777" w:rsidTr="007C5E43">
        <w:tc>
          <w:tcPr>
            <w:tcW w:w="2184" w:type="dxa"/>
            <w:shd w:val="clear" w:color="auto" w:fill="auto"/>
          </w:tcPr>
          <w:p w14:paraId="5D46B022" w14:textId="234D22F1" w:rsidR="008157EA" w:rsidRPr="00A31E33" w:rsidRDefault="008157EA" w:rsidP="008157EA">
            <w:pPr>
              <w:pStyle w:val="ListParagraph"/>
              <w:ind w:left="0"/>
              <w:jc w:val="both"/>
              <w:rPr>
                <w:rFonts w:cs="Arial"/>
                <w:sz w:val="20"/>
              </w:rPr>
            </w:pPr>
            <w:r w:rsidRPr="00A31E33">
              <w:rPr>
                <w:sz w:val="20"/>
              </w:rPr>
              <w:t>Access Harrow</w:t>
            </w:r>
          </w:p>
        </w:tc>
        <w:tc>
          <w:tcPr>
            <w:tcW w:w="1054" w:type="dxa"/>
            <w:shd w:val="clear" w:color="auto" w:fill="auto"/>
          </w:tcPr>
          <w:p w14:paraId="7BDFF8F7" w14:textId="614243C0" w:rsidR="008157EA" w:rsidRPr="00A31E33" w:rsidRDefault="008157EA" w:rsidP="00A31E33">
            <w:pPr>
              <w:pStyle w:val="ListParagraph"/>
              <w:ind w:left="0"/>
              <w:jc w:val="right"/>
              <w:rPr>
                <w:rFonts w:cs="Arial"/>
                <w:sz w:val="20"/>
              </w:rPr>
            </w:pPr>
            <w:r w:rsidRPr="00A31E33">
              <w:rPr>
                <w:sz w:val="20"/>
              </w:rPr>
              <w:t>3,675</w:t>
            </w:r>
          </w:p>
        </w:tc>
        <w:tc>
          <w:tcPr>
            <w:tcW w:w="1194" w:type="dxa"/>
            <w:shd w:val="clear" w:color="auto" w:fill="auto"/>
          </w:tcPr>
          <w:p w14:paraId="5ECCF4AF" w14:textId="462E128A" w:rsidR="008157EA" w:rsidRPr="00A31E33" w:rsidRDefault="008157EA" w:rsidP="00A31E33">
            <w:pPr>
              <w:pStyle w:val="ListParagraph"/>
              <w:ind w:left="0"/>
              <w:jc w:val="right"/>
              <w:rPr>
                <w:rFonts w:cs="Arial"/>
                <w:sz w:val="20"/>
              </w:rPr>
            </w:pPr>
            <w:r w:rsidRPr="00A31E33">
              <w:rPr>
                <w:sz w:val="20"/>
              </w:rPr>
              <w:t>3,972</w:t>
            </w:r>
          </w:p>
        </w:tc>
        <w:tc>
          <w:tcPr>
            <w:tcW w:w="1230" w:type="dxa"/>
            <w:shd w:val="clear" w:color="000000" w:fill="FFFFFF"/>
          </w:tcPr>
          <w:p w14:paraId="77D3C9D8" w14:textId="708A0049" w:rsidR="008157EA" w:rsidRPr="00A31E33" w:rsidRDefault="008157EA" w:rsidP="00A31E33">
            <w:pPr>
              <w:pStyle w:val="ListParagraph"/>
              <w:ind w:left="0"/>
              <w:jc w:val="right"/>
              <w:rPr>
                <w:rFonts w:cs="Arial"/>
                <w:sz w:val="20"/>
              </w:rPr>
            </w:pPr>
            <w:r w:rsidRPr="00A31E33">
              <w:rPr>
                <w:sz w:val="20"/>
              </w:rPr>
              <w:t>-150</w:t>
            </w:r>
          </w:p>
        </w:tc>
        <w:tc>
          <w:tcPr>
            <w:tcW w:w="1150" w:type="dxa"/>
            <w:shd w:val="clear" w:color="000000" w:fill="FFFFFF"/>
          </w:tcPr>
          <w:p w14:paraId="12F34F5E" w14:textId="7939EDA6" w:rsidR="008157EA" w:rsidRPr="00A31E33" w:rsidRDefault="008157EA" w:rsidP="00A31E33">
            <w:pPr>
              <w:pStyle w:val="ListParagraph"/>
              <w:ind w:left="0"/>
              <w:jc w:val="right"/>
              <w:rPr>
                <w:rFonts w:cs="Arial"/>
                <w:sz w:val="20"/>
              </w:rPr>
            </w:pPr>
            <w:r w:rsidRPr="00A31E33">
              <w:rPr>
                <w:sz w:val="20"/>
              </w:rPr>
              <w:t>3,822</w:t>
            </w:r>
          </w:p>
        </w:tc>
        <w:tc>
          <w:tcPr>
            <w:tcW w:w="1177" w:type="dxa"/>
            <w:shd w:val="clear" w:color="000000" w:fill="FFFFFF"/>
          </w:tcPr>
          <w:p w14:paraId="1B389235" w14:textId="3E5EE055" w:rsidR="008157EA" w:rsidRPr="00A31E33" w:rsidRDefault="008157EA" w:rsidP="00A31E33">
            <w:pPr>
              <w:pStyle w:val="ListParagraph"/>
              <w:ind w:left="0"/>
              <w:jc w:val="right"/>
              <w:rPr>
                <w:rFonts w:cs="Arial"/>
                <w:sz w:val="20"/>
              </w:rPr>
            </w:pPr>
            <w:r w:rsidRPr="00A31E33">
              <w:rPr>
                <w:sz w:val="20"/>
              </w:rPr>
              <w:t>147</w:t>
            </w:r>
          </w:p>
        </w:tc>
        <w:tc>
          <w:tcPr>
            <w:tcW w:w="1164" w:type="dxa"/>
            <w:shd w:val="clear" w:color="auto" w:fill="auto"/>
          </w:tcPr>
          <w:p w14:paraId="6D5EE51F" w14:textId="58D0ED6D" w:rsidR="008157EA" w:rsidRPr="00A31E33" w:rsidRDefault="008157EA" w:rsidP="00A31E33">
            <w:pPr>
              <w:pStyle w:val="ListParagraph"/>
              <w:ind w:left="0"/>
              <w:jc w:val="right"/>
              <w:rPr>
                <w:rFonts w:cs="Arial"/>
                <w:sz w:val="20"/>
              </w:rPr>
            </w:pPr>
            <w:r w:rsidRPr="00A31E33">
              <w:rPr>
                <w:sz w:val="20"/>
              </w:rPr>
              <w:t>188</w:t>
            </w:r>
          </w:p>
        </w:tc>
        <w:tc>
          <w:tcPr>
            <w:tcW w:w="1337" w:type="dxa"/>
            <w:shd w:val="clear" w:color="000000" w:fill="F2F2F2"/>
          </w:tcPr>
          <w:p w14:paraId="6C88B797" w14:textId="6231528D" w:rsidR="008157EA" w:rsidRPr="00A31E33" w:rsidRDefault="008157EA" w:rsidP="00A31E33">
            <w:pPr>
              <w:pStyle w:val="ListParagraph"/>
              <w:ind w:left="0"/>
              <w:jc w:val="right"/>
              <w:rPr>
                <w:rFonts w:cs="Arial"/>
                <w:sz w:val="20"/>
              </w:rPr>
            </w:pPr>
            <w:r w:rsidRPr="00A31E33">
              <w:rPr>
                <w:sz w:val="20"/>
              </w:rPr>
              <w:t>-41</w:t>
            </w:r>
          </w:p>
        </w:tc>
      </w:tr>
      <w:tr w:rsidR="008157EA" w:rsidRPr="00A31E33" w14:paraId="43E2A7FF" w14:textId="77777777" w:rsidTr="007C5E43">
        <w:tc>
          <w:tcPr>
            <w:tcW w:w="2184" w:type="dxa"/>
            <w:shd w:val="clear" w:color="auto" w:fill="auto"/>
          </w:tcPr>
          <w:p w14:paraId="28C9A405" w14:textId="1938D0E7" w:rsidR="008157EA" w:rsidRPr="00A31E33" w:rsidRDefault="008157EA" w:rsidP="008157EA">
            <w:pPr>
              <w:pStyle w:val="ListParagraph"/>
              <w:ind w:left="0"/>
              <w:rPr>
                <w:rFonts w:cs="Arial"/>
                <w:sz w:val="20"/>
              </w:rPr>
            </w:pPr>
            <w:r w:rsidRPr="00A31E33">
              <w:rPr>
                <w:sz w:val="20"/>
              </w:rPr>
              <w:t>HR</w:t>
            </w:r>
          </w:p>
        </w:tc>
        <w:tc>
          <w:tcPr>
            <w:tcW w:w="1054" w:type="dxa"/>
            <w:shd w:val="clear" w:color="auto" w:fill="auto"/>
          </w:tcPr>
          <w:p w14:paraId="5AA62530" w14:textId="33B2F40D" w:rsidR="008157EA" w:rsidRPr="00A31E33" w:rsidRDefault="008157EA" w:rsidP="00A31E33">
            <w:pPr>
              <w:pStyle w:val="ListParagraph"/>
              <w:ind w:left="0"/>
              <w:jc w:val="right"/>
              <w:rPr>
                <w:rFonts w:cs="Arial"/>
                <w:sz w:val="20"/>
              </w:rPr>
            </w:pPr>
            <w:r w:rsidRPr="00A31E33">
              <w:rPr>
                <w:sz w:val="20"/>
              </w:rPr>
              <w:t>1,863</w:t>
            </w:r>
          </w:p>
        </w:tc>
        <w:tc>
          <w:tcPr>
            <w:tcW w:w="1194" w:type="dxa"/>
            <w:shd w:val="clear" w:color="auto" w:fill="auto"/>
          </w:tcPr>
          <w:p w14:paraId="5A50210B" w14:textId="73497129" w:rsidR="008157EA" w:rsidRPr="00A31E33" w:rsidRDefault="008157EA" w:rsidP="00A31E33">
            <w:pPr>
              <w:pStyle w:val="ListParagraph"/>
              <w:ind w:left="0"/>
              <w:jc w:val="right"/>
              <w:rPr>
                <w:rFonts w:cs="Arial"/>
                <w:sz w:val="20"/>
              </w:rPr>
            </w:pPr>
            <w:r w:rsidRPr="00A31E33">
              <w:rPr>
                <w:sz w:val="20"/>
              </w:rPr>
              <w:t>3,212</w:t>
            </w:r>
          </w:p>
        </w:tc>
        <w:tc>
          <w:tcPr>
            <w:tcW w:w="1230" w:type="dxa"/>
            <w:shd w:val="clear" w:color="000000" w:fill="FFFFFF"/>
          </w:tcPr>
          <w:p w14:paraId="4F107890" w14:textId="638714F3" w:rsidR="008157EA" w:rsidRPr="00A31E33" w:rsidRDefault="008157EA" w:rsidP="00A31E33">
            <w:pPr>
              <w:pStyle w:val="ListParagraph"/>
              <w:ind w:left="0"/>
              <w:jc w:val="right"/>
              <w:rPr>
                <w:rFonts w:cs="Arial"/>
                <w:sz w:val="20"/>
              </w:rPr>
            </w:pPr>
            <w:r w:rsidRPr="00A31E33">
              <w:rPr>
                <w:sz w:val="20"/>
              </w:rPr>
              <w:t>-1174</w:t>
            </w:r>
          </w:p>
        </w:tc>
        <w:tc>
          <w:tcPr>
            <w:tcW w:w="1150" w:type="dxa"/>
            <w:shd w:val="clear" w:color="000000" w:fill="FFFFFF"/>
          </w:tcPr>
          <w:p w14:paraId="45EE16C9" w14:textId="503B8D36" w:rsidR="008157EA" w:rsidRPr="00A31E33" w:rsidRDefault="008157EA" w:rsidP="00A31E33">
            <w:pPr>
              <w:pStyle w:val="ListParagraph"/>
              <w:ind w:left="0"/>
              <w:jc w:val="right"/>
              <w:rPr>
                <w:rFonts w:cs="Arial"/>
                <w:sz w:val="20"/>
              </w:rPr>
            </w:pPr>
            <w:r w:rsidRPr="00A31E33">
              <w:rPr>
                <w:sz w:val="20"/>
              </w:rPr>
              <w:t>2,038</w:t>
            </w:r>
          </w:p>
        </w:tc>
        <w:tc>
          <w:tcPr>
            <w:tcW w:w="1177" w:type="dxa"/>
            <w:shd w:val="clear" w:color="000000" w:fill="FFFFFF"/>
          </w:tcPr>
          <w:p w14:paraId="59ECFB21" w14:textId="17A52FC7" w:rsidR="008157EA" w:rsidRPr="00A31E33" w:rsidRDefault="008157EA" w:rsidP="00A31E33">
            <w:pPr>
              <w:pStyle w:val="ListParagraph"/>
              <w:ind w:left="0"/>
              <w:jc w:val="right"/>
              <w:rPr>
                <w:rFonts w:cs="Arial"/>
                <w:sz w:val="20"/>
              </w:rPr>
            </w:pPr>
            <w:r w:rsidRPr="00A31E33">
              <w:rPr>
                <w:sz w:val="20"/>
              </w:rPr>
              <w:t>175</w:t>
            </w:r>
          </w:p>
        </w:tc>
        <w:tc>
          <w:tcPr>
            <w:tcW w:w="1164" w:type="dxa"/>
            <w:shd w:val="clear" w:color="auto" w:fill="auto"/>
          </w:tcPr>
          <w:p w14:paraId="3BFBC99B" w14:textId="3726B2FF" w:rsidR="008157EA" w:rsidRPr="00A31E33" w:rsidRDefault="008157EA" w:rsidP="00A31E33">
            <w:pPr>
              <w:pStyle w:val="ListParagraph"/>
              <w:ind w:left="0"/>
              <w:jc w:val="right"/>
              <w:rPr>
                <w:rFonts w:cs="Arial"/>
                <w:sz w:val="20"/>
              </w:rPr>
            </w:pPr>
            <w:r w:rsidRPr="00A31E33">
              <w:rPr>
                <w:sz w:val="20"/>
              </w:rPr>
              <w:t>250</w:t>
            </w:r>
          </w:p>
        </w:tc>
        <w:tc>
          <w:tcPr>
            <w:tcW w:w="1337" w:type="dxa"/>
            <w:shd w:val="clear" w:color="000000" w:fill="F2F2F2"/>
          </w:tcPr>
          <w:p w14:paraId="45721028" w14:textId="62ADA1F9" w:rsidR="008157EA" w:rsidRPr="00A31E33" w:rsidRDefault="008157EA" w:rsidP="00A31E33">
            <w:pPr>
              <w:pStyle w:val="ListParagraph"/>
              <w:ind w:left="0"/>
              <w:jc w:val="right"/>
              <w:rPr>
                <w:rFonts w:cs="Arial"/>
                <w:sz w:val="20"/>
              </w:rPr>
            </w:pPr>
            <w:r w:rsidRPr="00A31E33">
              <w:rPr>
                <w:sz w:val="20"/>
              </w:rPr>
              <w:t>-75</w:t>
            </w:r>
          </w:p>
        </w:tc>
      </w:tr>
      <w:tr w:rsidR="008157EA" w:rsidRPr="00A31E33" w14:paraId="196297D4" w14:textId="77777777" w:rsidTr="007C5E43">
        <w:tc>
          <w:tcPr>
            <w:tcW w:w="2184" w:type="dxa"/>
            <w:shd w:val="clear" w:color="auto" w:fill="auto"/>
          </w:tcPr>
          <w:p w14:paraId="3F0F2D2F" w14:textId="3A2BB648" w:rsidR="008157EA" w:rsidRPr="00A31E33" w:rsidRDefault="008157EA" w:rsidP="008157EA">
            <w:pPr>
              <w:pStyle w:val="ListParagraph"/>
              <w:ind w:left="0"/>
              <w:jc w:val="both"/>
              <w:rPr>
                <w:rFonts w:cs="Arial"/>
                <w:b/>
                <w:bCs/>
                <w:sz w:val="20"/>
              </w:rPr>
            </w:pPr>
            <w:r w:rsidRPr="00A31E33">
              <w:rPr>
                <w:b/>
                <w:bCs/>
                <w:sz w:val="20"/>
              </w:rPr>
              <w:t>Totals</w:t>
            </w:r>
          </w:p>
        </w:tc>
        <w:tc>
          <w:tcPr>
            <w:tcW w:w="1054" w:type="dxa"/>
            <w:shd w:val="clear" w:color="auto" w:fill="auto"/>
          </w:tcPr>
          <w:p w14:paraId="444541E3" w14:textId="39FCC66B" w:rsidR="008157EA" w:rsidRPr="00A31E33" w:rsidRDefault="008157EA" w:rsidP="00A31E33">
            <w:pPr>
              <w:pStyle w:val="ListParagraph"/>
              <w:ind w:left="0"/>
              <w:jc w:val="right"/>
              <w:rPr>
                <w:rFonts w:cs="Arial"/>
                <w:b/>
                <w:bCs/>
                <w:sz w:val="20"/>
              </w:rPr>
            </w:pPr>
            <w:r w:rsidRPr="00A31E33">
              <w:rPr>
                <w:b/>
                <w:bCs/>
                <w:sz w:val="20"/>
              </w:rPr>
              <w:t>19,737</w:t>
            </w:r>
          </w:p>
        </w:tc>
        <w:tc>
          <w:tcPr>
            <w:tcW w:w="1194" w:type="dxa"/>
            <w:shd w:val="clear" w:color="auto" w:fill="auto"/>
          </w:tcPr>
          <w:p w14:paraId="3079A5F6" w14:textId="3154BDAE" w:rsidR="008157EA" w:rsidRPr="00A31E33" w:rsidRDefault="008157EA" w:rsidP="00A31E33">
            <w:pPr>
              <w:pStyle w:val="ListParagraph"/>
              <w:ind w:left="0"/>
              <w:jc w:val="right"/>
              <w:rPr>
                <w:rFonts w:cs="Arial"/>
                <w:b/>
                <w:bCs/>
                <w:sz w:val="20"/>
              </w:rPr>
            </w:pPr>
            <w:r w:rsidRPr="00A31E33">
              <w:rPr>
                <w:b/>
                <w:bCs/>
                <w:sz w:val="20"/>
              </w:rPr>
              <w:t>22,334</w:t>
            </w:r>
          </w:p>
        </w:tc>
        <w:tc>
          <w:tcPr>
            <w:tcW w:w="1230" w:type="dxa"/>
            <w:shd w:val="clear" w:color="000000" w:fill="FFFFFF"/>
          </w:tcPr>
          <w:p w14:paraId="45E09699" w14:textId="1AFD88A4" w:rsidR="008157EA" w:rsidRPr="00A31E33" w:rsidRDefault="008157EA" w:rsidP="00A31E33">
            <w:pPr>
              <w:pStyle w:val="ListParagraph"/>
              <w:ind w:left="0"/>
              <w:jc w:val="right"/>
              <w:rPr>
                <w:rFonts w:cs="Arial"/>
                <w:b/>
                <w:bCs/>
                <w:sz w:val="20"/>
              </w:rPr>
            </w:pPr>
            <w:r w:rsidRPr="00A31E33">
              <w:rPr>
                <w:b/>
                <w:bCs/>
                <w:sz w:val="20"/>
              </w:rPr>
              <w:t>-2,319</w:t>
            </w:r>
          </w:p>
        </w:tc>
        <w:tc>
          <w:tcPr>
            <w:tcW w:w="1150" w:type="dxa"/>
            <w:shd w:val="clear" w:color="000000" w:fill="FFFFFF"/>
          </w:tcPr>
          <w:p w14:paraId="53FE4951" w14:textId="0B6FB98C" w:rsidR="008157EA" w:rsidRPr="00A31E33" w:rsidRDefault="008157EA" w:rsidP="00A31E33">
            <w:pPr>
              <w:pStyle w:val="ListParagraph"/>
              <w:ind w:left="0"/>
              <w:jc w:val="right"/>
              <w:rPr>
                <w:rFonts w:cs="Arial"/>
                <w:b/>
                <w:bCs/>
                <w:sz w:val="20"/>
              </w:rPr>
            </w:pPr>
            <w:r w:rsidRPr="00A31E33">
              <w:rPr>
                <w:b/>
                <w:bCs/>
                <w:sz w:val="20"/>
              </w:rPr>
              <w:t>20,015</w:t>
            </w:r>
          </w:p>
        </w:tc>
        <w:tc>
          <w:tcPr>
            <w:tcW w:w="1177" w:type="dxa"/>
            <w:shd w:val="clear" w:color="000000" w:fill="FFFFFF"/>
          </w:tcPr>
          <w:p w14:paraId="5D4F8B2E" w14:textId="582DEBA7" w:rsidR="008157EA" w:rsidRPr="00A31E33" w:rsidRDefault="008157EA" w:rsidP="00A31E33">
            <w:pPr>
              <w:pStyle w:val="ListParagraph"/>
              <w:ind w:left="0"/>
              <w:jc w:val="right"/>
              <w:rPr>
                <w:rFonts w:cs="Arial"/>
                <w:b/>
                <w:bCs/>
                <w:sz w:val="20"/>
              </w:rPr>
            </w:pPr>
            <w:r w:rsidRPr="00A31E33">
              <w:rPr>
                <w:b/>
                <w:bCs/>
                <w:sz w:val="20"/>
              </w:rPr>
              <w:t>278</w:t>
            </w:r>
          </w:p>
        </w:tc>
        <w:tc>
          <w:tcPr>
            <w:tcW w:w="1164" w:type="dxa"/>
            <w:shd w:val="clear" w:color="000000" w:fill="FFFFFF"/>
          </w:tcPr>
          <w:p w14:paraId="5D052F0E" w14:textId="74B63D8E" w:rsidR="008157EA" w:rsidRPr="00A31E33" w:rsidRDefault="008157EA" w:rsidP="00A31E33">
            <w:pPr>
              <w:pStyle w:val="ListParagraph"/>
              <w:ind w:left="0"/>
              <w:jc w:val="right"/>
              <w:rPr>
                <w:rFonts w:cs="Arial"/>
                <w:b/>
                <w:bCs/>
                <w:sz w:val="20"/>
              </w:rPr>
            </w:pPr>
            <w:r w:rsidRPr="00A31E33">
              <w:rPr>
                <w:b/>
                <w:bCs/>
                <w:sz w:val="20"/>
              </w:rPr>
              <w:t>621</w:t>
            </w:r>
          </w:p>
        </w:tc>
        <w:tc>
          <w:tcPr>
            <w:tcW w:w="1337" w:type="dxa"/>
            <w:shd w:val="clear" w:color="000000" w:fill="FFFFFF"/>
          </w:tcPr>
          <w:p w14:paraId="2AEB2120" w14:textId="0E647344" w:rsidR="008157EA" w:rsidRPr="00A31E33" w:rsidRDefault="008157EA" w:rsidP="00A31E33">
            <w:pPr>
              <w:pStyle w:val="ListParagraph"/>
              <w:ind w:left="0"/>
              <w:jc w:val="right"/>
              <w:rPr>
                <w:rFonts w:cs="Arial"/>
                <w:b/>
                <w:bCs/>
                <w:sz w:val="20"/>
              </w:rPr>
            </w:pPr>
            <w:r w:rsidRPr="00A31E33">
              <w:rPr>
                <w:b/>
                <w:bCs/>
                <w:sz w:val="20"/>
              </w:rPr>
              <w:t>-343</w:t>
            </w:r>
          </w:p>
        </w:tc>
      </w:tr>
    </w:tbl>
    <w:p w14:paraId="6B5AA79B" w14:textId="18594964" w:rsidR="008941C6" w:rsidRDefault="006476B6" w:rsidP="00AF06B3">
      <w:pPr>
        <w:pStyle w:val="ListParagraph"/>
        <w:numPr>
          <w:ilvl w:val="0"/>
          <w:numId w:val="4"/>
        </w:numPr>
        <w:ind w:left="567" w:hanging="567"/>
        <w:jc w:val="both"/>
        <w:rPr>
          <w:rFonts w:cs="Arial"/>
          <w:szCs w:val="24"/>
        </w:rPr>
      </w:pPr>
      <w:r>
        <w:rPr>
          <w:rFonts w:cs="Arial"/>
          <w:szCs w:val="24"/>
        </w:rPr>
        <w:lastRenderedPageBreak/>
        <w:t>As at Q</w:t>
      </w:r>
      <w:r w:rsidR="00A31E33">
        <w:rPr>
          <w:rFonts w:cs="Arial"/>
          <w:szCs w:val="24"/>
        </w:rPr>
        <w:t>2</w:t>
      </w:r>
      <w:r>
        <w:rPr>
          <w:rFonts w:cs="Arial"/>
          <w:szCs w:val="24"/>
        </w:rPr>
        <w:t xml:space="preserve"> the directorate is reporting a net overspend of £</w:t>
      </w:r>
      <w:r w:rsidR="00A31E33">
        <w:rPr>
          <w:rFonts w:cs="Arial"/>
          <w:szCs w:val="24"/>
        </w:rPr>
        <w:t>27</w:t>
      </w:r>
      <w:r w:rsidR="002F6F40">
        <w:rPr>
          <w:rFonts w:cs="Arial"/>
          <w:szCs w:val="24"/>
        </w:rPr>
        <w:t>8</w:t>
      </w:r>
      <w:r>
        <w:rPr>
          <w:rFonts w:cs="Arial"/>
          <w:szCs w:val="24"/>
        </w:rPr>
        <w:t xml:space="preserve">k after </w:t>
      </w:r>
      <w:proofErr w:type="gramStart"/>
      <w:r>
        <w:rPr>
          <w:rFonts w:cs="Arial"/>
          <w:szCs w:val="24"/>
        </w:rPr>
        <w:t>draw</w:t>
      </w:r>
      <w:proofErr w:type="gramEnd"/>
      <w:r>
        <w:rPr>
          <w:rFonts w:cs="Arial"/>
          <w:szCs w:val="24"/>
        </w:rPr>
        <w:t xml:space="preserve"> down from reserves. The forecast includes £</w:t>
      </w:r>
      <w:r w:rsidR="00A31E33">
        <w:rPr>
          <w:rFonts w:cs="Arial"/>
          <w:szCs w:val="24"/>
        </w:rPr>
        <w:t>1.982</w:t>
      </w:r>
      <w:r>
        <w:rPr>
          <w:rFonts w:cs="Arial"/>
          <w:szCs w:val="24"/>
        </w:rPr>
        <w:t xml:space="preserve">m expected spend on the second year of the Modernisation Programme. </w:t>
      </w:r>
    </w:p>
    <w:p w14:paraId="346151E1" w14:textId="77777777" w:rsidR="00A31E33" w:rsidRDefault="00A31E33" w:rsidP="00A31E33">
      <w:pPr>
        <w:pStyle w:val="ListParagraph"/>
        <w:ind w:left="567"/>
        <w:jc w:val="both"/>
        <w:rPr>
          <w:rFonts w:cs="Arial"/>
          <w:szCs w:val="24"/>
        </w:rPr>
      </w:pPr>
    </w:p>
    <w:p w14:paraId="781ED88A" w14:textId="01BA6670" w:rsidR="00A31E33" w:rsidRDefault="00A31E33" w:rsidP="00AF06B3">
      <w:pPr>
        <w:pStyle w:val="ListParagraph"/>
        <w:numPr>
          <w:ilvl w:val="0"/>
          <w:numId w:val="4"/>
        </w:numPr>
        <w:ind w:left="567" w:hanging="567"/>
        <w:jc w:val="both"/>
        <w:rPr>
          <w:rFonts w:cs="Arial"/>
          <w:szCs w:val="24"/>
        </w:rPr>
      </w:pPr>
      <w:r>
        <w:rPr>
          <w:rFonts w:cs="Arial"/>
          <w:szCs w:val="24"/>
        </w:rPr>
        <w:t xml:space="preserve">This is a reduction of £343k from the position reported at Q1 mainly as a result of vacancies, delayed </w:t>
      </w:r>
      <w:r w:rsidR="00930F7A">
        <w:rPr>
          <w:rFonts w:cs="Arial"/>
          <w:szCs w:val="24"/>
        </w:rPr>
        <w:t>recruitment,</w:t>
      </w:r>
      <w:r>
        <w:rPr>
          <w:rFonts w:cs="Arial"/>
          <w:szCs w:val="24"/>
        </w:rPr>
        <w:t xml:space="preserve"> and additional external income across the directorate.</w:t>
      </w:r>
    </w:p>
    <w:p w14:paraId="1791948B" w14:textId="77777777" w:rsidR="00A31E33" w:rsidRDefault="00A31E33" w:rsidP="00A31E33">
      <w:pPr>
        <w:pStyle w:val="ListParagraph"/>
        <w:ind w:left="567"/>
        <w:jc w:val="both"/>
        <w:rPr>
          <w:rFonts w:cs="Arial"/>
          <w:szCs w:val="24"/>
        </w:rPr>
      </w:pPr>
    </w:p>
    <w:p w14:paraId="4B2D4492" w14:textId="219B10EC" w:rsidR="00B83B56" w:rsidRDefault="00B83B56" w:rsidP="00AF06B3">
      <w:pPr>
        <w:pStyle w:val="ListParagraph"/>
        <w:numPr>
          <w:ilvl w:val="0"/>
          <w:numId w:val="4"/>
        </w:numPr>
        <w:ind w:left="567" w:hanging="567"/>
        <w:jc w:val="both"/>
        <w:rPr>
          <w:rFonts w:cs="Arial"/>
          <w:szCs w:val="24"/>
        </w:rPr>
      </w:pPr>
      <w:r>
        <w:rPr>
          <w:rFonts w:cs="Arial"/>
          <w:szCs w:val="24"/>
        </w:rPr>
        <w:t xml:space="preserve">The reserve movements are shown in Table </w:t>
      </w:r>
      <w:r w:rsidR="00A31E33">
        <w:rPr>
          <w:rFonts w:cs="Arial"/>
          <w:szCs w:val="24"/>
        </w:rPr>
        <w:t>5</w:t>
      </w:r>
    </w:p>
    <w:p w14:paraId="6CA07AC7" w14:textId="77777777" w:rsidR="00E54211" w:rsidRPr="00E54211" w:rsidRDefault="00E54211" w:rsidP="00E54211">
      <w:pPr>
        <w:pStyle w:val="ListParagraph"/>
        <w:rPr>
          <w:rFonts w:cs="Arial"/>
          <w:szCs w:val="24"/>
        </w:rPr>
      </w:pPr>
    </w:p>
    <w:p w14:paraId="2B4FF76F" w14:textId="136AE4BC" w:rsidR="00B83B56" w:rsidRPr="00B83B56" w:rsidRDefault="00B83B56" w:rsidP="00B83B56">
      <w:pPr>
        <w:jc w:val="both"/>
        <w:rPr>
          <w:rFonts w:cs="Arial"/>
          <w:b/>
          <w:bCs/>
          <w:szCs w:val="24"/>
          <w:u w:val="single"/>
        </w:rPr>
      </w:pPr>
      <w:r w:rsidRPr="00B83B56">
        <w:rPr>
          <w:rFonts w:cs="Arial"/>
          <w:b/>
          <w:bCs/>
          <w:szCs w:val="24"/>
          <w:u w:val="single"/>
        </w:rPr>
        <w:t xml:space="preserve">Table </w:t>
      </w:r>
      <w:r w:rsidR="00A31E33">
        <w:rPr>
          <w:rFonts w:cs="Arial"/>
          <w:b/>
          <w:bCs/>
          <w:szCs w:val="24"/>
          <w:u w:val="single"/>
        </w:rPr>
        <w:t>5</w:t>
      </w:r>
      <w:r w:rsidRPr="00B83B56">
        <w:rPr>
          <w:rFonts w:cs="Arial"/>
          <w:b/>
          <w:bCs/>
          <w:szCs w:val="24"/>
          <w:u w:val="single"/>
        </w:rPr>
        <w:t>: Resources Reserve Movements 2022-23</w:t>
      </w:r>
    </w:p>
    <w:p w14:paraId="194C7BF6" w14:textId="263C50DB" w:rsidR="00B83B56" w:rsidRDefault="00B83B56" w:rsidP="00B83B56">
      <w:pPr>
        <w:jc w:val="both"/>
        <w:rPr>
          <w:rFonts w:cs="Arial"/>
          <w:szCs w:val="24"/>
        </w:rPr>
      </w:pPr>
    </w:p>
    <w:tbl>
      <w:tblPr>
        <w:tblStyle w:val="TableGrid"/>
        <w:tblW w:w="0" w:type="auto"/>
        <w:tblLook w:val="04A0" w:firstRow="1" w:lastRow="0" w:firstColumn="1" w:lastColumn="0" w:noHBand="0" w:noVBand="1"/>
      </w:tblPr>
      <w:tblGrid>
        <w:gridCol w:w="6786"/>
        <w:gridCol w:w="2233"/>
      </w:tblGrid>
      <w:tr w:rsidR="00B83B56" w:rsidRPr="00B83B56" w14:paraId="3015A182" w14:textId="77777777" w:rsidTr="00A31E33">
        <w:tc>
          <w:tcPr>
            <w:tcW w:w="6786" w:type="dxa"/>
          </w:tcPr>
          <w:p w14:paraId="474A10D4" w14:textId="14587AB6" w:rsidR="00B83B56" w:rsidRPr="00B83B56" w:rsidRDefault="00B83B56" w:rsidP="00B83B56">
            <w:pPr>
              <w:jc w:val="both"/>
              <w:rPr>
                <w:rFonts w:cs="Arial"/>
                <w:b/>
                <w:bCs/>
                <w:sz w:val="20"/>
              </w:rPr>
            </w:pPr>
            <w:r w:rsidRPr="00B83B56">
              <w:rPr>
                <w:b/>
                <w:bCs/>
                <w:sz w:val="20"/>
              </w:rPr>
              <w:t xml:space="preserve">Description </w:t>
            </w:r>
          </w:p>
        </w:tc>
        <w:tc>
          <w:tcPr>
            <w:tcW w:w="2233" w:type="dxa"/>
          </w:tcPr>
          <w:p w14:paraId="7F746A0E" w14:textId="3904B131" w:rsidR="00B83B56" w:rsidRPr="00B83B56" w:rsidRDefault="00B83B56" w:rsidP="00B83B56">
            <w:pPr>
              <w:jc w:val="both"/>
              <w:rPr>
                <w:rFonts w:cs="Arial"/>
                <w:b/>
                <w:bCs/>
                <w:sz w:val="20"/>
              </w:rPr>
            </w:pPr>
            <w:r w:rsidRPr="00B83B56">
              <w:rPr>
                <w:b/>
                <w:bCs/>
                <w:sz w:val="20"/>
              </w:rPr>
              <w:t>Movement £’000</w:t>
            </w:r>
          </w:p>
        </w:tc>
      </w:tr>
      <w:tr w:rsidR="00B83B56" w:rsidRPr="00B83B56" w14:paraId="6B8A2EDC" w14:textId="77777777" w:rsidTr="00A31E33">
        <w:tc>
          <w:tcPr>
            <w:tcW w:w="6786" w:type="dxa"/>
          </w:tcPr>
          <w:p w14:paraId="41E05167" w14:textId="6295DF7D" w:rsidR="00B83B56" w:rsidRPr="00B83B56" w:rsidRDefault="00B83B56" w:rsidP="00B83B56">
            <w:pPr>
              <w:jc w:val="both"/>
              <w:rPr>
                <w:rFonts w:cs="Arial"/>
                <w:sz w:val="20"/>
              </w:rPr>
            </w:pPr>
            <w:r w:rsidRPr="00B83B56">
              <w:rPr>
                <w:sz w:val="20"/>
              </w:rPr>
              <w:t>Business Risk Reserve</w:t>
            </w:r>
          </w:p>
        </w:tc>
        <w:tc>
          <w:tcPr>
            <w:tcW w:w="2233" w:type="dxa"/>
          </w:tcPr>
          <w:p w14:paraId="559FB907" w14:textId="4F4785A3" w:rsidR="00B83B56" w:rsidRPr="00B83B56" w:rsidRDefault="00B83B56" w:rsidP="00B83B56">
            <w:pPr>
              <w:jc w:val="right"/>
              <w:rPr>
                <w:rFonts w:cs="Arial"/>
                <w:sz w:val="20"/>
              </w:rPr>
            </w:pPr>
            <w:r w:rsidRPr="00B83B56">
              <w:rPr>
                <w:sz w:val="20"/>
              </w:rPr>
              <w:t>-</w:t>
            </w:r>
            <w:r w:rsidR="00A31E33">
              <w:rPr>
                <w:sz w:val="20"/>
              </w:rPr>
              <w:t>2</w:t>
            </w:r>
            <w:r w:rsidRPr="00B83B56">
              <w:rPr>
                <w:sz w:val="20"/>
              </w:rPr>
              <w:t>35</w:t>
            </w:r>
          </w:p>
        </w:tc>
      </w:tr>
      <w:tr w:rsidR="00B83B56" w:rsidRPr="00B83B56" w14:paraId="589188F9" w14:textId="77777777" w:rsidTr="00A31E33">
        <w:tc>
          <w:tcPr>
            <w:tcW w:w="6786" w:type="dxa"/>
          </w:tcPr>
          <w:p w14:paraId="2F34AEA6" w14:textId="14BD3843" w:rsidR="00B83B56" w:rsidRPr="00B83B56" w:rsidRDefault="00B83B56" w:rsidP="00B83B56">
            <w:pPr>
              <w:jc w:val="both"/>
              <w:rPr>
                <w:rFonts w:cs="Arial"/>
                <w:sz w:val="20"/>
              </w:rPr>
            </w:pPr>
            <w:r w:rsidRPr="00B83B56">
              <w:rPr>
                <w:sz w:val="20"/>
              </w:rPr>
              <w:t>Capacity Build/ Transformation Reserve</w:t>
            </w:r>
          </w:p>
        </w:tc>
        <w:tc>
          <w:tcPr>
            <w:tcW w:w="2233" w:type="dxa"/>
          </w:tcPr>
          <w:p w14:paraId="131CF28B" w14:textId="7A389680" w:rsidR="00B83B56" w:rsidRPr="00B83B56" w:rsidRDefault="00B83B56" w:rsidP="00B83B56">
            <w:pPr>
              <w:jc w:val="right"/>
              <w:rPr>
                <w:rFonts w:cs="Arial"/>
                <w:sz w:val="20"/>
              </w:rPr>
            </w:pPr>
            <w:r w:rsidRPr="00B83B56">
              <w:rPr>
                <w:sz w:val="20"/>
              </w:rPr>
              <w:t>-</w:t>
            </w:r>
            <w:r w:rsidR="00A31E33">
              <w:rPr>
                <w:sz w:val="20"/>
              </w:rPr>
              <w:t>1,982</w:t>
            </w:r>
          </w:p>
        </w:tc>
      </w:tr>
      <w:tr w:rsidR="00B83B56" w:rsidRPr="00B83B56" w14:paraId="42CE2BB6" w14:textId="77777777" w:rsidTr="00A31E33">
        <w:tc>
          <w:tcPr>
            <w:tcW w:w="6786" w:type="dxa"/>
          </w:tcPr>
          <w:p w14:paraId="6240A76D" w14:textId="14323270" w:rsidR="00B83B56" w:rsidRPr="00B83B56" w:rsidRDefault="00B83B56" w:rsidP="00B83B56">
            <w:pPr>
              <w:jc w:val="both"/>
              <w:rPr>
                <w:rFonts w:cs="Arial"/>
                <w:sz w:val="20"/>
              </w:rPr>
            </w:pPr>
            <w:r w:rsidRPr="00B83B56">
              <w:rPr>
                <w:sz w:val="20"/>
              </w:rPr>
              <w:t>Equalities Diversity &amp; Inclusion Reserve</w:t>
            </w:r>
          </w:p>
        </w:tc>
        <w:tc>
          <w:tcPr>
            <w:tcW w:w="2233" w:type="dxa"/>
          </w:tcPr>
          <w:p w14:paraId="6563DACF" w14:textId="64C5B8AB" w:rsidR="00B83B56" w:rsidRPr="00B83B56" w:rsidRDefault="00B83B56" w:rsidP="00B83B56">
            <w:pPr>
              <w:jc w:val="right"/>
              <w:rPr>
                <w:rFonts w:cs="Arial"/>
                <w:sz w:val="20"/>
              </w:rPr>
            </w:pPr>
            <w:r w:rsidRPr="00B83B56">
              <w:rPr>
                <w:sz w:val="20"/>
              </w:rPr>
              <w:t>-102</w:t>
            </w:r>
          </w:p>
        </w:tc>
      </w:tr>
      <w:tr w:rsidR="00B83B56" w:rsidRPr="00B83B56" w14:paraId="3AE0E90E" w14:textId="77777777" w:rsidTr="00A31E33">
        <w:tc>
          <w:tcPr>
            <w:tcW w:w="6786" w:type="dxa"/>
          </w:tcPr>
          <w:p w14:paraId="7A6FD043" w14:textId="104A6AFD" w:rsidR="00B83B56" w:rsidRPr="00B83B56" w:rsidRDefault="00B83B56" w:rsidP="00B83B56">
            <w:pPr>
              <w:jc w:val="both"/>
              <w:rPr>
                <w:rFonts w:cs="Arial"/>
                <w:b/>
                <w:bCs/>
                <w:sz w:val="20"/>
              </w:rPr>
            </w:pPr>
            <w:r w:rsidRPr="00B83B56">
              <w:rPr>
                <w:b/>
                <w:bCs/>
                <w:sz w:val="20"/>
              </w:rPr>
              <w:t>Resources net draw down</w:t>
            </w:r>
          </w:p>
        </w:tc>
        <w:tc>
          <w:tcPr>
            <w:tcW w:w="2233" w:type="dxa"/>
          </w:tcPr>
          <w:p w14:paraId="2E9590CE" w14:textId="267852E3" w:rsidR="00B83B56" w:rsidRPr="00B83B56" w:rsidRDefault="00B83B56" w:rsidP="00B83B56">
            <w:pPr>
              <w:jc w:val="right"/>
              <w:rPr>
                <w:rFonts w:cs="Arial"/>
                <w:b/>
                <w:bCs/>
                <w:sz w:val="20"/>
              </w:rPr>
            </w:pPr>
            <w:r w:rsidRPr="00B83B56">
              <w:rPr>
                <w:b/>
                <w:bCs/>
                <w:sz w:val="20"/>
              </w:rPr>
              <w:t>-</w:t>
            </w:r>
            <w:r w:rsidR="00A31E33">
              <w:rPr>
                <w:b/>
                <w:bCs/>
                <w:sz w:val="20"/>
              </w:rPr>
              <w:t>2,319</w:t>
            </w:r>
          </w:p>
        </w:tc>
      </w:tr>
    </w:tbl>
    <w:p w14:paraId="72F695C8" w14:textId="77777777" w:rsidR="00B83B56" w:rsidRPr="00B83B56" w:rsidRDefault="00B83B56" w:rsidP="00B83B56">
      <w:pPr>
        <w:jc w:val="both"/>
        <w:rPr>
          <w:rFonts w:cs="Arial"/>
          <w:szCs w:val="24"/>
        </w:rPr>
      </w:pPr>
    </w:p>
    <w:p w14:paraId="6DB3E371" w14:textId="77777777" w:rsidR="00E971A9" w:rsidRDefault="00E971A9" w:rsidP="00E971A9">
      <w:pPr>
        <w:pStyle w:val="ListParagraph"/>
        <w:ind w:left="567"/>
        <w:jc w:val="both"/>
        <w:rPr>
          <w:rFonts w:cs="Arial"/>
          <w:szCs w:val="24"/>
        </w:rPr>
      </w:pPr>
    </w:p>
    <w:p w14:paraId="3F164191" w14:textId="07BCCA6F" w:rsidR="006476B6" w:rsidRDefault="006476B6" w:rsidP="00AF06B3">
      <w:pPr>
        <w:pStyle w:val="ListParagraph"/>
        <w:numPr>
          <w:ilvl w:val="0"/>
          <w:numId w:val="4"/>
        </w:numPr>
        <w:ind w:left="567" w:hanging="567"/>
        <w:jc w:val="both"/>
        <w:rPr>
          <w:rFonts w:cs="Arial"/>
          <w:szCs w:val="24"/>
        </w:rPr>
      </w:pPr>
      <w:r>
        <w:rPr>
          <w:rFonts w:cs="Arial"/>
          <w:szCs w:val="24"/>
        </w:rPr>
        <w:t>The net overspend of £</w:t>
      </w:r>
      <w:r w:rsidR="00A31E33">
        <w:rPr>
          <w:rFonts w:cs="Arial"/>
          <w:szCs w:val="24"/>
        </w:rPr>
        <w:t>278</w:t>
      </w:r>
      <w:r>
        <w:rPr>
          <w:rFonts w:cs="Arial"/>
          <w:szCs w:val="24"/>
        </w:rPr>
        <w:t>k is made up as follows:</w:t>
      </w:r>
    </w:p>
    <w:p w14:paraId="1F015109" w14:textId="204F99C8" w:rsidR="006476B6" w:rsidRPr="006476B6" w:rsidRDefault="006476B6" w:rsidP="00AF06B3">
      <w:pPr>
        <w:pStyle w:val="ListParagraph"/>
        <w:numPr>
          <w:ilvl w:val="1"/>
          <w:numId w:val="4"/>
        </w:numPr>
        <w:ind w:left="1418" w:hanging="567"/>
        <w:jc w:val="both"/>
        <w:rPr>
          <w:rFonts w:cs="Arial"/>
          <w:szCs w:val="24"/>
        </w:rPr>
      </w:pPr>
      <w:bookmarkStart w:id="3" w:name="_Hlk112331957"/>
      <w:r w:rsidRPr="006476B6">
        <w:rPr>
          <w:rFonts w:cs="Arial"/>
          <w:b/>
          <w:bCs/>
          <w:szCs w:val="24"/>
        </w:rPr>
        <w:t>Access Harrow</w:t>
      </w:r>
      <w:r w:rsidRPr="006476B6">
        <w:rPr>
          <w:rFonts w:cs="Arial"/>
          <w:szCs w:val="24"/>
        </w:rPr>
        <w:t xml:space="preserve"> – £</w:t>
      </w:r>
      <w:r w:rsidR="00A31E33">
        <w:rPr>
          <w:rFonts w:cs="Arial"/>
          <w:szCs w:val="24"/>
        </w:rPr>
        <w:t>147</w:t>
      </w:r>
      <w:r w:rsidRPr="006476B6">
        <w:rPr>
          <w:rFonts w:cs="Arial"/>
          <w:szCs w:val="24"/>
        </w:rPr>
        <w:t>k net overspend due to</w:t>
      </w:r>
      <w:r w:rsidR="00174142">
        <w:rPr>
          <w:rFonts w:cs="Arial"/>
          <w:szCs w:val="24"/>
        </w:rPr>
        <w:t xml:space="preserve"> the decision to not implement a prior year MTFS saving to close the telephone lines for Revenues and Collections. </w:t>
      </w:r>
    </w:p>
    <w:bookmarkEnd w:id="3"/>
    <w:p w14:paraId="46DCB179" w14:textId="5AB40FFA" w:rsidR="006476B6" w:rsidRDefault="006476B6" w:rsidP="00AF06B3">
      <w:pPr>
        <w:pStyle w:val="ListParagraph"/>
        <w:numPr>
          <w:ilvl w:val="1"/>
          <w:numId w:val="4"/>
        </w:numPr>
        <w:ind w:left="1418" w:hanging="567"/>
        <w:jc w:val="both"/>
        <w:rPr>
          <w:rFonts w:cs="Arial"/>
          <w:szCs w:val="24"/>
        </w:rPr>
      </w:pPr>
      <w:r w:rsidRPr="006476B6">
        <w:rPr>
          <w:rFonts w:cs="Arial"/>
          <w:b/>
          <w:bCs/>
          <w:szCs w:val="24"/>
        </w:rPr>
        <w:t>HR</w:t>
      </w:r>
      <w:r>
        <w:rPr>
          <w:rFonts w:cs="Arial"/>
          <w:szCs w:val="24"/>
        </w:rPr>
        <w:t xml:space="preserve"> - £</w:t>
      </w:r>
      <w:r w:rsidR="00A31E33">
        <w:rPr>
          <w:rFonts w:cs="Arial"/>
          <w:szCs w:val="24"/>
        </w:rPr>
        <w:t>175</w:t>
      </w:r>
      <w:r>
        <w:rPr>
          <w:rFonts w:cs="Arial"/>
          <w:szCs w:val="24"/>
        </w:rPr>
        <w:t>k net overspend due to loss of income from schools for Payroll services</w:t>
      </w:r>
    </w:p>
    <w:p w14:paraId="556AE8BD" w14:textId="48B2957B" w:rsidR="006476B6" w:rsidRPr="006476B6" w:rsidRDefault="00A31E33" w:rsidP="00AF06B3">
      <w:pPr>
        <w:pStyle w:val="ListParagraph"/>
        <w:numPr>
          <w:ilvl w:val="1"/>
          <w:numId w:val="4"/>
        </w:numPr>
        <w:ind w:left="1418" w:hanging="567"/>
        <w:jc w:val="both"/>
        <w:rPr>
          <w:rFonts w:cs="Arial"/>
          <w:szCs w:val="24"/>
        </w:rPr>
      </w:pPr>
      <w:r>
        <w:rPr>
          <w:rFonts w:cs="Arial"/>
          <w:b/>
          <w:bCs/>
          <w:szCs w:val="24"/>
        </w:rPr>
        <w:t>Various underspends</w:t>
      </w:r>
      <w:r w:rsidR="006476B6" w:rsidRPr="006476B6">
        <w:rPr>
          <w:rFonts w:cs="Arial"/>
          <w:szCs w:val="24"/>
        </w:rPr>
        <w:t xml:space="preserve"> - £</w:t>
      </w:r>
      <w:r>
        <w:rPr>
          <w:rFonts w:cs="Arial"/>
          <w:szCs w:val="24"/>
        </w:rPr>
        <w:t>4</w:t>
      </w:r>
      <w:r w:rsidR="006476B6">
        <w:rPr>
          <w:rFonts w:cs="Arial"/>
          <w:szCs w:val="24"/>
        </w:rPr>
        <w:t>4</w:t>
      </w:r>
      <w:r w:rsidR="006476B6" w:rsidRPr="006476B6">
        <w:rPr>
          <w:rFonts w:cs="Arial"/>
          <w:szCs w:val="24"/>
        </w:rPr>
        <w:t>k across the directorate</w:t>
      </w:r>
      <w:r>
        <w:rPr>
          <w:rFonts w:cs="Arial"/>
          <w:szCs w:val="24"/>
        </w:rPr>
        <w:t xml:space="preserve"> mainly related to vacancies, delayed </w:t>
      </w:r>
      <w:r w:rsidR="00930F7A">
        <w:rPr>
          <w:rFonts w:cs="Arial"/>
          <w:szCs w:val="24"/>
        </w:rPr>
        <w:t>recruitment,</w:t>
      </w:r>
      <w:r>
        <w:rPr>
          <w:rFonts w:cs="Arial"/>
          <w:szCs w:val="24"/>
        </w:rPr>
        <w:t xml:space="preserve"> and additional external income</w:t>
      </w:r>
    </w:p>
    <w:bookmarkEnd w:id="0"/>
    <w:bookmarkEnd w:id="1"/>
    <w:bookmarkEnd w:id="2"/>
    <w:p w14:paraId="2A9AA215" w14:textId="77777777" w:rsidR="00787709" w:rsidRDefault="00787709" w:rsidP="003C7F2F">
      <w:pPr>
        <w:rPr>
          <w:rFonts w:cs="Arial"/>
          <w:b/>
          <w:szCs w:val="24"/>
          <w:u w:val="single"/>
        </w:rPr>
      </w:pPr>
    </w:p>
    <w:p w14:paraId="35A20D93" w14:textId="17D39227" w:rsidR="00690337" w:rsidRPr="00F5674D" w:rsidRDefault="0056292F" w:rsidP="003C7F2F">
      <w:pPr>
        <w:rPr>
          <w:rFonts w:cs="Arial"/>
          <w:b/>
          <w:szCs w:val="24"/>
          <w:u w:val="single"/>
        </w:rPr>
      </w:pPr>
      <w:r>
        <w:rPr>
          <w:rFonts w:cs="Arial"/>
          <w:b/>
          <w:szCs w:val="24"/>
          <w:u w:val="single"/>
        </w:rPr>
        <w:t>PLACE</w:t>
      </w:r>
    </w:p>
    <w:p w14:paraId="24FE4088" w14:textId="10FD5312" w:rsidR="009A7E9D" w:rsidRPr="00F5674D" w:rsidRDefault="009A7E9D" w:rsidP="009A7E9D">
      <w:pPr>
        <w:pStyle w:val="ListParagraph"/>
        <w:ind w:left="567"/>
        <w:jc w:val="both"/>
        <w:rPr>
          <w:rFonts w:cs="Arial"/>
          <w:szCs w:val="24"/>
        </w:rPr>
      </w:pPr>
    </w:p>
    <w:p w14:paraId="175B0801" w14:textId="7D8B9176" w:rsidR="00157B60" w:rsidRPr="0056292F" w:rsidRDefault="001025AD" w:rsidP="00157B60">
      <w:pPr>
        <w:jc w:val="both"/>
        <w:rPr>
          <w:rFonts w:cs="Arial"/>
          <w:b/>
          <w:u w:val="single"/>
        </w:rPr>
      </w:pPr>
      <w:r w:rsidRPr="0056292F">
        <w:rPr>
          <w:rFonts w:cs="Arial"/>
          <w:b/>
          <w:u w:val="single"/>
        </w:rPr>
        <w:t xml:space="preserve">Table </w:t>
      </w:r>
      <w:r w:rsidR="00A31E33">
        <w:rPr>
          <w:rFonts w:cs="Arial"/>
          <w:b/>
          <w:u w:val="single"/>
        </w:rPr>
        <w:t>6</w:t>
      </w:r>
      <w:r w:rsidRPr="0056292F">
        <w:rPr>
          <w:rFonts w:cs="Arial"/>
          <w:b/>
          <w:u w:val="single"/>
        </w:rPr>
        <w:t xml:space="preserve">: </w:t>
      </w:r>
      <w:r w:rsidR="0056292F" w:rsidRPr="0056292F">
        <w:rPr>
          <w:rFonts w:cs="Arial"/>
          <w:b/>
          <w:u w:val="single"/>
        </w:rPr>
        <w:t>Place</w:t>
      </w:r>
      <w:r w:rsidRPr="0056292F">
        <w:rPr>
          <w:rFonts w:cs="Arial"/>
          <w:b/>
          <w:u w:val="single"/>
        </w:rPr>
        <w:t xml:space="preserve"> </w:t>
      </w:r>
      <w:r w:rsidR="00D207F0">
        <w:rPr>
          <w:rFonts w:cs="Arial"/>
          <w:b/>
          <w:u w:val="single"/>
        </w:rPr>
        <w:t>Forecast Outturn Q</w:t>
      </w:r>
      <w:r w:rsidR="00E037F5">
        <w:rPr>
          <w:rFonts w:cs="Arial"/>
          <w:b/>
          <w:u w:val="single"/>
        </w:rPr>
        <w:t>2</w:t>
      </w:r>
      <w:r w:rsidR="00D207F0">
        <w:rPr>
          <w:rFonts w:cs="Arial"/>
          <w:b/>
          <w:u w:val="single"/>
        </w:rPr>
        <w:t xml:space="preserve"> 2022-23</w:t>
      </w:r>
    </w:p>
    <w:p w14:paraId="0DBBF833" w14:textId="63514F94" w:rsidR="00F678AF" w:rsidRPr="00B37833" w:rsidRDefault="00F678AF" w:rsidP="00F678AF">
      <w:pPr>
        <w:pStyle w:val="ListParagraph"/>
        <w:ind w:left="567"/>
        <w:jc w:val="both"/>
        <w:rPr>
          <w:rFonts w:cs="Arial"/>
          <w:bCs/>
          <w:color w:val="FF0000"/>
        </w:rPr>
      </w:pPr>
    </w:p>
    <w:tbl>
      <w:tblPr>
        <w:tblStyle w:val="TableGrid"/>
        <w:tblW w:w="10916" w:type="dxa"/>
        <w:tblInd w:w="-998" w:type="dxa"/>
        <w:tblLook w:val="04A0" w:firstRow="1" w:lastRow="0" w:firstColumn="1" w:lastColumn="0" w:noHBand="0" w:noVBand="1"/>
      </w:tblPr>
      <w:tblGrid>
        <w:gridCol w:w="2592"/>
        <w:gridCol w:w="905"/>
        <w:gridCol w:w="1053"/>
        <w:gridCol w:w="1106"/>
        <w:gridCol w:w="1139"/>
        <w:gridCol w:w="1110"/>
        <w:gridCol w:w="1168"/>
        <w:gridCol w:w="1050"/>
        <w:gridCol w:w="793"/>
      </w:tblGrid>
      <w:tr w:rsidR="00E037F5" w:rsidRPr="00E037F5" w14:paraId="0D6E0E8A" w14:textId="77777777" w:rsidTr="007C5E43">
        <w:tc>
          <w:tcPr>
            <w:tcW w:w="2592" w:type="dxa"/>
          </w:tcPr>
          <w:p w14:paraId="3498AFAC" w14:textId="77777777" w:rsidR="00E037F5" w:rsidRPr="00E037F5" w:rsidRDefault="00E037F5" w:rsidP="00E037F5">
            <w:pPr>
              <w:pStyle w:val="ListParagraph"/>
              <w:ind w:left="0"/>
              <w:jc w:val="both"/>
              <w:rPr>
                <w:rFonts w:cs="Arial"/>
                <w:b/>
                <w:bCs/>
                <w:sz w:val="20"/>
              </w:rPr>
            </w:pPr>
            <w:r w:rsidRPr="00E037F5">
              <w:rPr>
                <w:b/>
                <w:bCs/>
                <w:sz w:val="20"/>
              </w:rPr>
              <w:t>Division</w:t>
            </w:r>
          </w:p>
        </w:tc>
        <w:tc>
          <w:tcPr>
            <w:tcW w:w="905" w:type="dxa"/>
          </w:tcPr>
          <w:p w14:paraId="60981919" w14:textId="6D0895D8" w:rsidR="00E037F5" w:rsidRPr="00E037F5" w:rsidRDefault="00E037F5" w:rsidP="00E037F5">
            <w:pPr>
              <w:pStyle w:val="ListParagraph"/>
              <w:ind w:left="0"/>
              <w:jc w:val="center"/>
              <w:rPr>
                <w:rFonts w:cs="Arial"/>
                <w:b/>
                <w:bCs/>
                <w:sz w:val="20"/>
              </w:rPr>
            </w:pPr>
            <w:r w:rsidRPr="00E037F5">
              <w:rPr>
                <w:b/>
                <w:bCs/>
                <w:sz w:val="20"/>
              </w:rPr>
              <w:t>Budget</w:t>
            </w:r>
          </w:p>
        </w:tc>
        <w:tc>
          <w:tcPr>
            <w:tcW w:w="1053" w:type="dxa"/>
          </w:tcPr>
          <w:p w14:paraId="191426A8" w14:textId="7D69770D" w:rsidR="00E037F5" w:rsidRPr="00E037F5" w:rsidRDefault="00E037F5" w:rsidP="00E037F5">
            <w:pPr>
              <w:pStyle w:val="ListParagraph"/>
              <w:ind w:left="0"/>
              <w:jc w:val="center"/>
              <w:rPr>
                <w:rFonts w:cs="Arial"/>
                <w:b/>
                <w:bCs/>
                <w:sz w:val="20"/>
              </w:rPr>
            </w:pPr>
            <w:r w:rsidRPr="00E037F5">
              <w:rPr>
                <w:b/>
                <w:bCs/>
                <w:sz w:val="20"/>
              </w:rPr>
              <w:t>Forecast</w:t>
            </w:r>
          </w:p>
        </w:tc>
        <w:tc>
          <w:tcPr>
            <w:tcW w:w="1106" w:type="dxa"/>
          </w:tcPr>
          <w:p w14:paraId="351BBDA5" w14:textId="449E3592" w:rsidR="00E037F5" w:rsidRPr="00E037F5" w:rsidRDefault="00E037F5" w:rsidP="00E037F5">
            <w:pPr>
              <w:pStyle w:val="ListParagraph"/>
              <w:ind w:left="0"/>
              <w:jc w:val="center"/>
              <w:rPr>
                <w:rFonts w:cs="Arial"/>
                <w:b/>
                <w:bCs/>
                <w:sz w:val="20"/>
              </w:rPr>
            </w:pPr>
            <w:r w:rsidRPr="00E037F5">
              <w:rPr>
                <w:b/>
                <w:bCs/>
                <w:sz w:val="20"/>
              </w:rPr>
              <w:t>To/ (From) Reserves</w:t>
            </w:r>
          </w:p>
        </w:tc>
        <w:tc>
          <w:tcPr>
            <w:tcW w:w="1139" w:type="dxa"/>
          </w:tcPr>
          <w:p w14:paraId="044728C7" w14:textId="55596893" w:rsidR="00E037F5" w:rsidRPr="00E037F5" w:rsidRDefault="00E037F5" w:rsidP="00E037F5">
            <w:pPr>
              <w:pStyle w:val="ListParagraph"/>
              <w:ind w:left="0"/>
              <w:jc w:val="center"/>
              <w:rPr>
                <w:rFonts w:cs="Arial"/>
                <w:b/>
                <w:bCs/>
                <w:sz w:val="20"/>
              </w:rPr>
            </w:pPr>
            <w:r w:rsidRPr="00E037F5">
              <w:rPr>
                <w:b/>
                <w:bCs/>
                <w:sz w:val="20"/>
              </w:rPr>
              <w:t>Cross divisional adjmt</w:t>
            </w:r>
          </w:p>
        </w:tc>
        <w:tc>
          <w:tcPr>
            <w:tcW w:w="1110" w:type="dxa"/>
          </w:tcPr>
          <w:p w14:paraId="38F418DC" w14:textId="4386C5A6" w:rsidR="00E037F5" w:rsidRPr="00E037F5" w:rsidRDefault="00E037F5" w:rsidP="00E037F5">
            <w:pPr>
              <w:pStyle w:val="ListParagraph"/>
              <w:ind w:left="0"/>
              <w:jc w:val="center"/>
              <w:rPr>
                <w:rFonts w:cs="Arial"/>
                <w:b/>
                <w:bCs/>
                <w:sz w:val="20"/>
              </w:rPr>
            </w:pPr>
            <w:r w:rsidRPr="00E037F5">
              <w:rPr>
                <w:b/>
                <w:bCs/>
                <w:sz w:val="20"/>
              </w:rPr>
              <w:t>Revised Forecast</w:t>
            </w:r>
          </w:p>
        </w:tc>
        <w:tc>
          <w:tcPr>
            <w:tcW w:w="1168" w:type="dxa"/>
          </w:tcPr>
          <w:p w14:paraId="076A7D1A" w14:textId="1142B501" w:rsidR="00E037F5" w:rsidRPr="00E037F5" w:rsidRDefault="00E037F5" w:rsidP="00E037F5">
            <w:pPr>
              <w:pStyle w:val="ListParagraph"/>
              <w:ind w:left="0"/>
              <w:jc w:val="center"/>
              <w:rPr>
                <w:rFonts w:cs="Arial"/>
                <w:b/>
                <w:bCs/>
                <w:sz w:val="20"/>
              </w:rPr>
            </w:pPr>
            <w:r w:rsidRPr="00E037F5">
              <w:rPr>
                <w:b/>
                <w:bCs/>
                <w:sz w:val="20"/>
              </w:rPr>
              <w:t>Variance to budget</w:t>
            </w:r>
          </w:p>
        </w:tc>
        <w:tc>
          <w:tcPr>
            <w:tcW w:w="1050" w:type="dxa"/>
          </w:tcPr>
          <w:p w14:paraId="1B30C676" w14:textId="410ACF85" w:rsidR="00E037F5" w:rsidRPr="00E037F5" w:rsidRDefault="00E037F5" w:rsidP="00E037F5">
            <w:pPr>
              <w:pStyle w:val="ListParagraph"/>
              <w:ind w:left="0"/>
              <w:jc w:val="center"/>
              <w:rPr>
                <w:rFonts w:cs="Arial"/>
                <w:b/>
                <w:bCs/>
                <w:sz w:val="20"/>
              </w:rPr>
            </w:pPr>
            <w:r w:rsidRPr="00A31E33">
              <w:rPr>
                <w:b/>
                <w:bCs/>
                <w:sz w:val="20"/>
              </w:rPr>
              <w:t>Q1 Variance</w:t>
            </w:r>
          </w:p>
        </w:tc>
        <w:tc>
          <w:tcPr>
            <w:tcW w:w="793" w:type="dxa"/>
          </w:tcPr>
          <w:p w14:paraId="393A5224" w14:textId="5AFB5843" w:rsidR="00E037F5" w:rsidRPr="00E037F5" w:rsidRDefault="00E037F5" w:rsidP="00E037F5">
            <w:pPr>
              <w:pStyle w:val="ListParagraph"/>
              <w:ind w:left="0"/>
              <w:jc w:val="center"/>
              <w:rPr>
                <w:rFonts w:cs="Arial"/>
                <w:b/>
                <w:bCs/>
                <w:sz w:val="20"/>
              </w:rPr>
            </w:pPr>
            <w:r w:rsidRPr="00A31E33">
              <w:rPr>
                <w:b/>
                <w:bCs/>
                <w:sz w:val="20"/>
              </w:rPr>
              <w:t>Mov to Q1</w:t>
            </w:r>
          </w:p>
        </w:tc>
      </w:tr>
      <w:tr w:rsidR="00E037F5" w:rsidRPr="00E037F5" w14:paraId="78E21F39" w14:textId="77777777" w:rsidTr="007C5E43">
        <w:tc>
          <w:tcPr>
            <w:tcW w:w="2592" w:type="dxa"/>
          </w:tcPr>
          <w:p w14:paraId="3F381E4C" w14:textId="77777777" w:rsidR="00E037F5" w:rsidRPr="00E037F5" w:rsidRDefault="00E037F5" w:rsidP="00E037F5">
            <w:pPr>
              <w:pStyle w:val="ListParagraph"/>
              <w:ind w:left="0"/>
              <w:jc w:val="both"/>
              <w:rPr>
                <w:rFonts w:cs="Arial"/>
                <w:b/>
                <w:sz w:val="20"/>
              </w:rPr>
            </w:pPr>
          </w:p>
        </w:tc>
        <w:tc>
          <w:tcPr>
            <w:tcW w:w="905" w:type="dxa"/>
          </w:tcPr>
          <w:p w14:paraId="66EF22C6" w14:textId="55100391" w:rsidR="00E037F5" w:rsidRPr="00E037F5" w:rsidRDefault="00E037F5" w:rsidP="00E037F5">
            <w:pPr>
              <w:pStyle w:val="ListParagraph"/>
              <w:ind w:left="0"/>
              <w:jc w:val="center"/>
              <w:rPr>
                <w:rFonts w:cs="Arial"/>
                <w:b/>
                <w:sz w:val="20"/>
              </w:rPr>
            </w:pPr>
            <w:r w:rsidRPr="00E037F5">
              <w:rPr>
                <w:b/>
                <w:bCs/>
                <w:sz w:val="20"/>
              </w:rPr>
              <w:t>£000</w:t>
            </w:r>
          </w:p>
        </w:tc>
        <w:tc>
          <w:tcPr>
            <w:tcW w:w="1053" w:type="dxa"/>
          </w:tcPr>
          <w:p w14:paraId="52308758" w14:textId="6265BB8C" w:rsidR="00E037F5" w:rsidRPr="00E037F5" w:rsidRDefault="00E037F5" w:rsidP="00E037F5">
            <w:pPr>
              <w:pStyle w:val="ListParagraph"/>
              <w:ind w:left="0"/>
              <w:jc w:val="center"/>
              <w:rPr>
                <w:rFonts w:cs="Arial"/>
                <w:b/>
                <w:sz w:val="20"/>
              </w:rPr>
            </w:pPr>
            <w:r w:rsidRPr="00E037F5">
              <w:rPr>
                <w:b/>
                <w:bCs/>
                <w:sz w:val="20"/>
              </w:rPr>
              <w:t>£000</w:t>
            </w:r>
          </w:p>
        </w:tc>
        <w:tc>
          <w:tcPr>
            <w:tcW w:w="1106" w:type="dxa"/>
          </w:tcPr>
          <w:p w14:paraId="2AC51230" w14:textId="771D60D1" w:rsidR="00E037F5" w:rsidRPr="00E037F5" w:rsidRDefault="00E037F5" w:rsidP="00E037F5">
            <w:pPr>
              <w:pStyle w:val="ListParagraph"/>
              <w:ind w:left="0"/>
              <w:jc w:val="center"/>
              <w:rPr>
                <w:rFonts w:cs="Arial"/>
                <w:b/>
                <w:bCs/>
                <w:sz w:val="20"/>
              </w:rPr>
            </w:pPr>
            <w:r w:rsidRPr="00E037F5">
              <w:rPr>
                <w:b/>
                <w:bCs/>
                <w:sz w:val="20"/>
              </w:rPr>
              <w:t>£000</w:t>
            </w:r>
          </w:p>
        </w:tc>
        <w:tc>
          <w:tcPr>
            <w:tcW w:w="1139" w:type="dxa"/>
          </w:tcPr>
          <w:p w14:paraId="65577F65" w14:textId="60319CCF" w:rsidR="00E037F5" w:rsidRPr="00E037F5" w:rsidRDefault="00E037F5" w:rsidP="00E037F5">
            <w:pPr>
              <w:pStyle w:val="ListParagraph"/>
              <w:ind w:left="0"/>
              <w:jc w:val="center"/>
              <w:rPr>
                <w:rFonts w:cs="Arial"/>
                <w:b/>
                <w:bCs/>
                <w:sz w:val="20"/>
              </w:rPr>
            </w:pPr>
            <w:r w:rsidRPr="00E037F5">
              <w:rPr>
                <w:b/>
                <w:bCs/>
                <w:sz w:val="20"/>
              </w:rPr>
              <w:t>£000</w:t>
            </w:r>
          </w:p>
        </w:tc>
        <w:tc>
          <w:tcPr>
            <w:tcW w:w="1110" w:type="dxa"/>
          </w:tcPr>
          <w:p w14:paraId="68BF3C3A" w14:textId="09C75E55" w:rsidR="00E037F5" w:rsidRPr="00E037F5" w:rsidRDefault="00E037F5" w:rsidP="00E037F5">
            <w:pPr>
              <w:pStyle w:val="ListParagraph"/>
              <w:ind w:left="0"/>
              <w:jc w:val="center"/>
              <w:rPr>
                <w:rFonts w:cs="Arial"/>
                <w:b/>
                <w:bCs/>
                <w:sz w:val="20"/>
              </w:rPr>
            </w:pPr>
            <w:r w:rsidRPr="00E037F5">
              <w:rPr>
                <w:b/>
                <w:bCs/>
                <w:sz w:val="20"/>
              </w:rPr>
              <w:t>£000</w:t>
            </w:r>
          </w:p>
        </w:tc>
        <w:tc>
          <w:tcPr>
            <w:tcW w:w="1168" w:type="dxa"/>
          </w:tcPr>
          <w:p w14:paraId="0B76648D" w14:textId="3A3A4EFB" w:rsidR="00E037F5" w:rsidRPr="00E037F5" w:rsidRDefault="00E037F5" w:rsidP="00E037F5">
            <w:pPr>
              <w:pStyle w:val="ListParagraph"/>
              <w:ind w:left="0"/>
              <w:jc w:val="center"/>
              <w:rPr>
                <w:rFonts w:cs="Arial"/>
                <w:b/>
                <w:bCs/>
                <w:sz w:val="20"/>
              </w:rPr>
            </w:pPr>
            <w:r w:rsidRPr="00E037F5">
              <w:rPr>
                <w:b/>
                <w:bCs/>
                <w:sz w:val="20"/>
              </w:rPr>
              <w:t>£000</w:t>
            </w:r>
          </w:p>
        </w:tc>
        <w:tc>
          <w:tcPr>
            <w:tcW w:w="1050" w:type="dxa"/>
          </w:tcPr>
          <w:p w14:paraId="7ECF16EA" w14:textId="6EAF5941" w:rsidR="00E037F5" w:rsidRPr="00E037F5" w:rsidRDefault="00E037F5" w:rsidP="00E037F5">
            <w:pPr>
              <w:pStyle w:val="ListParagraph"/>
              <w:ind w:left="0"/>
              <w:jc w:val="center"/>
              <w:rPr>
                <w:rFonts w:cs="Arial"/>
                <w:b/>
                <w:bCs/>
                <w:sz w:val="20"/>
              </w:rPr>
            </w:pPr>
            <w:r w:rsidRPr="00E037F5">
              <w:rPr>
                <w:b/>
                <w:bCs/>
                <w:sz w:val="20"/>
              </w:rPr>
              <w:t>£000</w:t>
            </w:r>
          </w:p>
        </w:tc>
        <w:tc>
          <w:tcPr>
            <w:tcW w:w="793" w:type="dxa"/>
          </w:tcPr>
          <w:p w14:paraId="69AEFB0D" w14:textId="15B38F8A" w:rsidR="00E037F5" w:rsidRPr="00E037F5" w:rsidRDefault="00E037F5" w:rsidP="00E037F5">
            <w:pPr>
              <w:pStyle w:val="ListParagraph"/>
              <w:ind w:left="0"/>
              <w:jc w:val="center"/>
              <w:rPr>
                <w:rFonts w:cs="Arial"/>
                <w:b/>
                <w:bCs/>
                <w:sz w:val="20"/>
              </w:rPr>
            </w:pPr>
            <w:r w:rsidRPr="00E037F5">
              <w:rPr>
                <w:b/>
                <w:bCs/>
                <w:sz w:val="20"/>
              </w:rPr>
              <w:t>£000</w:t>
            </w:r>
          </w:p>
        </w:tc>
      </w:tr>
      <w:tr w:rsidR="00E037F5" w:rsidRPr="00E037F5" w14:paraId="3676ED5F" w14:textId="77777777" w:rsidTr="007C5E43">
        <w:tc>
          <w:tcPr>
            <w:tcW w:w="2592" w:type="dxa"/>
            <w:shd w:val="clear" w:color="auto" w:fill="auto"/>
          </w:tcPr>
          <w:p w14:paraId="07FACED8" w14:textId="743D1B11" w:rsidR="00E037F5" w:rsidRPr="00E037F5" w:rsidRDefault="00E037F5" w:rsidP="00E037F5">
            <w:pPr>
              <w:pStyle w:val="ListParagraph"/>
              <w:ind w:left="0"/>
              <w:rPr>
                <w:rFonts w:cs="Arial"/>
                <w:bCs/>
                <w:sz w:val="20"/>
              </w:rPr>
            </w:pPr>
            <w:r w:rsidRPr="00E037F5">
              <w:rPr>
                <w:sz w:val="20"/>
              </w:rPr>
              <w:t>Directorate Management</w:t>
            </w:r>
          </w:p>
        </w:tc>
        <w:tc>
          <w:tcPr>
            <w:tcW w:w="905" w:type="dxa"/>
            <w:shd w:val="clear" w:color="auto" w:fill="auto"/>
          </w:tcPr>
          <w:p w14:paraId="3BDDF97A" w14:textId="67444366" w:rsidR="00E037F5" w:rsidRPr="00E037F5" w:rsidRDefault="00E037F5" w:rsidP="00E037F5">
            <w:pPr>
              <w:pStyle w:val="ListParagraph"/>
              <w:ind w:left="0"/>
              <w:jc w:val="right"/>
              <w:rPr>
                <w:rFonts w:cs="Arial"/>
                <w:bCs/>
                <w:sz w:val="20"/>
              </w:rPr>
            </w:pPr>
            <w:r w:rsidRPr="00E037F5">
              <w:rPr>
                <w:sz w:val="20"/>
              </w:rPr>
              <w:t>2,902</w:t>
            </w:r>
          </w:p>
        </w:tc>
        <w:tc>
          <w:tcPr>
            <w:tcW w:w="1053" w:type="dxa"/>
            <w:shd w:val="clear" w:color="auto" w:fill="auto"/>
          </w:tcPr>
          <w:p w14:paraId="15D4D76E" w14:textId="40DA935F" w:rsidR="00E037F5" w:rsidRPr="00E037F5" w:rsidRDefault="00E037F5" w:rsidP="00E037F5">
            <w:pPr>
              <w:pStyle w:val="ListParagraph"/>
              <w:ind w:left="0"/>
              <w:jc w:val="right"/>
              <w:rPr>
                <w:rFonts w:cs="Arial"/>
                <w:bCs/>
                <w:sz w:val="20"/>
              </w:rPr>
            </w:pPr>
            <w:r w:rsidRPr="00E037F5">
              <w:rPr>
                <w:sz w:val="20"/>
              </w:rPr>
              <w:t>4,385</w:t>
            </w:r>
          </w:p>
        </w:tc>
        <w:tc>
          <w:tcPr>
            <w:tcW w:w="1106" w:type="dxa"/>
            <w:shd w:val="clear" w:color="000000" w:fill="FFFFFF"/>
          </w:tcPr>
          <w:p w14:paraId="2159450B" w14:textId="1C546BE5" w:rsidR="00E037F5" w:rsidRPr="00E037F5" w:rsidRDefault="00E037F5" w:rsidP="00E037F5">
            <w:pPr>
              <w:pStyle w:val="ListParagraph"/>
              <w:ind w:left="0"/>
              <w:jc w:val="right"/>
              <w:rPr>
                <w:rFonts w:cs="Arial"/>
                <w:bCs/>
                <w:sz w:val="20"/>
              </w:rPr>
            </w:pPr>
            <w:r w:rsidRPr="00E037F5">
              <w:rPr>
                <w:sz w:val="20"/>
              </w:rPr>
              <w:t>-113</w:t>
            </w:r>
          </w:p>
        </w:tc>
        <w:tc>
          <w:tcPr>
            <w:tcW w:w="1139" w:type="dxa"/>
            <w:shd w:val="clear" w:color="000000" w:fill="FFFFFF"/>
          </w:tcPr>
          <w:p w14:paraId="78BA85AB" w14:textId="6DBBF57F" w:rsidR="00E037F5" w:rsidRPr="00E037F5" w:rsidRDefault="00E037F5" w:rsidP="00E037F5">
            <w:pPr>
              <w:pStyle w:val="ListParagraph"/>
              <w:ind w:left="0"/>
              <w:jc w:val="right"/>
              <w:rPr>
                <w:rFonts w:cs="Arial"/>
                <w:bCs/>
                <w:sz w:val="20"/>
              </w:rPr>
            </w:pPr>
            <w:r w:rsidRPr="00E037F5">
              <w:rPr>
                <w:sz w:val="20"/>
              </w:rPr>
              <w:t>0</w:t>
            </w:r>
          </w:p>
        </w:tc>
        <w:tc>
          <w:tcPr>
            <w:tcW w:w="1110" w:type="dxa"/>
            <w:shd w:val="clear" w:color="000000" w:fill="FFFFFF"/>
          </w:tcPr>
          <w:p w14:paraId="26A6E6AF" w14:textId="5EC60A03" w:rsidR="00E037F5" w:rsidRPr="00E037F5" w:rsidRDefault="00E037F5" w:rsidP="00E037F5">
            <w:pPr>
              <w:pStyle w:val="ListParagraph"/>
              <w:ind w:left="0"/>
              <w:jc w:val="right"/>
              <w:rPr>
                <w:rFonts w:cs="Arial"/>
                <w:bCs/>
                <w:sz w:val="20"/>
              </w:rPr>
            </w:pPr>
            <w:r w:rsidRPr="00E037F5">
              <w:rPr>
                <w:sz w:val="20"/>
              </w:rPr>
              <w:t>4,272</w:t>
            </w:r>
          </w:p>
        </w:tc>
        <w:tc>
          <w:tcPr>
            <w:tcW w:w="1168" w:type="dxa"/>
            <w:shd w:val="clear" w:color="000000" w:fill="FFFFFF"/>
          </w:tcPr>
          <w:p w14:paraId="6BECA143" w14:textId="6E7AFF1C" w:rsidR="00E037F5" w:rsidRPr="00E037F5" w:rsidRDefault="00E037F5" w:rsidP="00E037F5">
            <w:pPr>
              <w:pStyle w:val="ListParagraph"/>
              <w:ind w:left="0"/>
              <w:jc w:val="right"/>
              <w:rPr>
                <w:rFonts w:cs="Arial"/>
                <w:bCs/>
                <w:sz w:val="20"/>
              </w:rPr>
            </w:pPr>
            <w:r w:rsidRPr="00E037F5">
              <w:rPr>
                <w:sz w:val="20"/>
              </w:rPr>
              <w:t>1,370</w:t>
            </w:r>
          </w:p>
        </w:tc>
        <w:tc>
          <w:tcPr>
            <w:tcW w:w="1050" w:type="dxa"/>
            <w:shd w:val="clear" w:color="auto" w:fill="auto"/>
          </w:tcPr>
          <w:p w14:paraId="6953B751" w14:textId="7F99D632" w:rsidR="00E037F5" w:rsidRPr="00E037F5" w:rsidRDefault="00E037F5" w:rsidP="00E037F5">
            <w:pPr>
              <w:pStyle w:val="ListParagraph"/>
              <w:ind w:left="0"/>
              <w:jc w:val="right"/>
              <w:rPr>
                <w:rFonts w:cs="Arial"/>
                <w:bCs/>
                <w:sz w:val="20"/>
              </w:rPr>
            </w:pPr>
            <w:r w:rsidRPr="00E037F5">
              <w:rPr>
                <w:sz w:val="20"/>
              </w:rPr>
              <w:t>349</w:t>
            </w:r>
          </w:p>
        </w:tc>
        <w:tc>
          <w:tcPr>
            <w:tcW w:w="793" w:type="dxa"/>
            <w:shd w:val="clear" w:color="000000" w:fill="F2F2F2"/>
          </w:tcPr>
          <w:p w14:paraId="4BAC9257" w14:textId="4BBB3446" w:rsidR="00E037F5" w:rsidRPr="00E037F5" w:rsidRDefault="00E037F5" w:rsidP="00E037F5">
            <w:pPr>
              <w:pStyle w:val="ListParagraph"/>
              <w:ind w:left="0"/>
              <w:jc w:val="right"/>
              <w:rPr>
                <w:rFonts w:cs="Arial"/>
                <w:bCs/>
                <w:sz w:val="20"/>
              </w:rPr>
            </w:pPr>
            <w:r w:rsidRPr="00E037F5">
              <w:rPr>
                <w:sz w:val="20"/>
              </w:rPr>
              <w:t>1,021</w:t>
            </w:r>
          </w:p>
        </w:tc>
      </w:tr>
      <w:tr w:rsidR="00E037F5" w:rsidRPr="00E037F5" w14:paraId="09F01705" w14:textId="77777777" w:rsidTr="007C5E43">
        <w:tc>
          <w:tcPr>
            <w:tcW w:w="2592" w:type="dxa"/>
            <w:shd w:val="clear" w:color="auto" w:fill="auto"/>
          </w:tcPr>
          <w:p w14:paraId="018F970C" w14:textId="67D141DC" w:rsidR="00E037F5" w:rsidRPr="00E037F5" w:rsidRDefault="00E037F5" w:rsidP="00E037F5">
            <w:pPr>
              <w:pStyle w:val="ListParagraph"/>
              <w:ind w:left="0"/>
              <w:rPr>
                <w:rFonts w:cs="Arial"/>
                <w:bCs/>
                <w:sz w:val="20"/>
              </w:rPr>
            </w:pPr>
            <w:r w:rsidRPr="00E037F5">
              <w:rPr>
                <w:sz w:val="20"/>
              </w:rPr>
              <w:t>Environment</w:t>
            </w:r>
          </w:p>
        </w:tc>
        <w:tc>
          <w:tcPr>
            <w:tcW w:w="905" w:type="dxa"/>
            <w:shd w:val="clear" w:color="auto" w:fill="auto"/>
          </w:tcPr>
          <w:p w14:paraId="7CA2592F" w14:textId="61D88C5B" w:rsidR="00E037F5" w:rsidRPr="00E037F5" w:rsidRDefault="00E037F5" w:rsidP="00E037F5">
            <w:pPr>
              <w:pStyle w:val="ListParagraph"/>
              <w:ind w:left="0"/>
              <w:jc w:val="right"/>
              <w:rPr>
                <w:rFonts w:cs="Arial"/>
                <w:bCs/>
                <w:sz w:val="20"/>
              </w:rPr>
            </w:pPr>
            <w:r w:rsidRPr="00E037F5">
              <w:rPr>
                <w:sz w:val="20"/>
              </w:rPr>
              <w:t>16,197</w:t>
            </w:r>
          </w:p>
        </w:tc>
        <w:tc>
          <w:tcPr>
            <w:tcW w:w="1053" w:type="dxa"/>
            <w:shd w:val="clear" w:color="auto" w:fill="auto"/>
          </w:tcPr>
          <w:p w14:paraId="0B7D2038" w14:textId="4B8D6D6D" w:rsidR="00E037F5" w:rsidRPr="00E037F5" w:rsidRDefault="00E037F5" w:rsidP="00E037F5">
            <w:pPr>
              <w:pStyle w:val="ListParagraph"/>
              <w:ind w:left="0"/>
              <w:jc w:val="right"/>
              <w:rPr>
                <w:rFonts w:cs="Arial"/>
                <w:bCs/>
                <w:sz w:val="20"/>
              </w:rPr>
            </w:pPr>
            <w:r w:rsidRPr="00E037F5">
              <w:rPr>
                <w:sz w:val="20"/>
              </w:rPr>
              <w:t>17,284</w:t>
            </w:r>
          </w:p>
        </w:tc>
        <w:tc>
          <w:tcPr>
            <w:tcW w:w="1106" w:type="dxa"/>
            <w:shd w:val="clear" w:color="000000" w:fill="FFFFFF"/>
          </w:tcPr>
          <w:p w14:paraId="5A49BB7D" w14:textId="0BABDDCB" w:rsidR="00E037F5" w:rsidRPr="00E037F5" w:rsidRDefault="00E037F5" w:rsidP="00E037F5">
            <w:pPr>
              <w:pStyle w:val="ListParagraph"/>
              <w:ind w:left="0"/>
              <w:jc w:val="right"/>
              <w:rPr>
                <w:rFonts w:cs="Arial"/>
                <w:bCs/>
                <w:sz w:val="20"/>
              </w:rPr>
            </w:pPr>
            <w:r w:rsidRPr="00E037F5">
              <w:rPr>
                <w:sz w:val="20"/>
              </w:rPr>
              <w:t>-999</w:t>
            </w:r>
          </w:p>
        </w:tc>
        <w:tc>
          <w:tcPr>
            <w:tcW w:w="1139" w:type="dxa"/>
            <w:shd w:val="clear" w:color="000000" w:fill="FFFFFF"/>
          </w:tcPr>
          <w:p w14:paraId="59AA9E9F" w14:textId="5B687D80" w:rsidR="00E037F5" w:rsidRPr="00E037F5" w:rsidRDefault="00E037F5" w:rsidP="00E037F5">
            <w:pPr>
              <w:pStyle w:val="ListParagraph"/>
              <w:ind w:left="0"/>
              <w:jc w:val="right"/>
              <w:rPr>
                <w:rFonts w:cs="Arial"/>
                <w:bCs/>
                <w:sz w:val="20"/>
              </w:rPr>
            </w:pPr>
            <w:r w:rsidRPr="00E037F5">
              <w:rPr>
                <w:sz w:val="20"/>
              </w:rPr>
              <w:t>0</w:t>
            </w:r>
          </w:p>
        </w:tc>
        <w:tc>
          <w:tcPr>
            <w:tcW w:w="1110" w:type="dxa"/>
            <w:shd w:val="clear" w:color="000000" w:fill="FFFFFF"/>
          </w:tcPr>
          <w:p w14:paraId="01942F67" w14:textId="52A37FA6" w:rsidR="00E037F5" w:rsidRPr="00E037F5" w:rsidRDefault="00E037F5" w:rsidP="00E037F5">
            <w:pPr>
              <w:pStyle w:val="ListParagraph"/>
              <w:ind w:left="0"/>
              <w:jc w:val="right"/>
              <w:rPr>
                <w:rFonts w:cs="Arial"/>
                <w:bCs/>
                <w:sz w:val="20"/>
              </w:rPr>
            </w:pPr>
            <w:r w:rsidRPr="00E037F5">
              <w:rPr>
                <w:sz w:val="20"/>
              </w:rPr>
              <w:t>16,285</w:t>
            </w:r>
          </w:p>
        </w:tc>
        <w:tc>
          <w:tcPr>
            <w:tcW w:w="1168" w:type="dxa"/>
            <w:shd w:val="clear" w:color="000000" w:fill="FFFFFF"/>
          </w:tcPr>
          <w:p w14:paraId="2CEB3CA4" w14:textId="6564EF93" w:rsidR="00E037F5" w:rsidRPr="00E037F5" w:rsidRDefault="00E037F5" w:rsidP="00E037F5">
            <w:pPr>
              <w:pStyle w:val="ListParagraph"/>
              <w:ind w:left="0"/>
              <w:jc w:val="right"/>
              <w:rPr>
                <w:rFonts w:cs="Arial"/>
                <w:bCs/>
                <w:sz w:val="20"/>
              </w:rPr>
            </w:pPr>
            <w:r w:rsidRPr="00E037F5">
              <w:rPr>
                <w:sz w:val="20"/>
              </w:rPr>
              <w:t>88</w:t>
            </w:r>
          </w:p>
        </w:tc>
        <w:tc>
          <w:tcPr>
            <w:tcW w:w="1050" w:type="dxa"/>
            <w:shd w:val="clear" w:color="auto" w:fill="auto"/>
          </w:tcPr>
          <w:p w14:paraId="34E83456" w14:textId="6C47C64C" w:rsidR="00E037F5" w:rsidRPr="00E037F5" w:rsidRDefault="00E037F5" w:rsidP="00E037F5">
            <w:pPr>
              <w:pStyle w:val="ListParagraph"/>
              <w:ind w:left="0"/>
              <w:jc w:val="right"/>
              <w:rPr>
                <w:rFonts w:cs="Arial"/>
                <w:bCs/>
                <w:sz w:val="20"/>
              </w:rPr>
            </w:pPr>
            <w:r w:rsidRPr="00E037F5">
              <w:rPr>
                <w:sz w:val="20"/>
              </w:rPr>
              <w:t>638</w:t>
            </w:r>
          </w:p>
        </w:tc>
        <w:tc>
          <w:tcPr>
            <w:tcW w:w="793" w:type="dxa"/>
            <w:shd w:val="clear" w:color="000000" w:fill="F2F2F2"/>
          </w:tcPr>
          <w:p w14:paraId="4B2C9F82" w14:textId="188F4108" w:rsidR="00E037F5" w:rsidRPr="00E037F5" w:rsidRDefault="00E037F5" w:rsidP="00E037F5">
            <w:pPr>
              <w:pStyle w:val="ListParagraph"/>
              <w:ind w:left="0"/>
              <w:jc w:val="right"/>
              <w:rPr>
                <w:rFonts w:cs="Arial"/>
                <w:bCs/>
                <w:sz w:val="20"/>
              </w:rPr>
            </w:pPr>
            <w:r w:rsidRPr="00E037F5">
              <w:rPr>
                <w:sz w:val="20"/>
              </w:rPr>
              <w:t>-550</w:t>
            </w:r>
          </w:p>
        </w:tc>
      </w:tr>
      <w:tr w:rsidR="00E037F5" w:rsidRPr="00E037F5" w14:paraId="7F19FE51" w14:textId="77777777" w:rsidTr="007C5E43">
        <w:tc>
          <w:tcPr>
            <w:tcW w:w="2592" w:type="dxa"/>
            <w:shd w:val="clear" w:color="auto" w:fill="auto"/>
          </w:tcPr>
          <w:p w14:paraId="09F1EF6A" w14:textId="4ABE8747" w:rsidR="00E037F5" w:rsidRPr="00E037F5" w:rsidRDefault="00E037F5" w:rsidP="00E037F5">
            <w:pPr>
              <w:pStyle w:val="ListParagraph"/>
              <w:ind w:left="0"/>
              <w:rPr>
                <w:rFonts w:cs="Arial"/>
                <w:bCs/>
                <w:sz w:val="20"/>
              </w:rPr>
            </w:pPr>
            <w:r w:rsidRPr="00E037F5">
              <w:rPr>
                <w:sz w:val="20"/>
              </w:rPr>
              <w:t>Inclusive Economy Leisure &amp; Culture</w:t>
            </w:r>
          </w:p>
        </w:tc>
        <w:tc>
          <w:tcPr>
            <w:tcW w:w="905" w:type="dxa"/>
            <w:shd w:val="clear" w:color="auto" w:fill="auto"/>
          </w:tcPr>
          <w:p w14:paraId="217A634B" w14:textId="0A58918D" w:rsidR="00E037F5" w:rsidRPr="00E037F5" w:rsidRDefault="00E037F5" w:rsidP="00E037F5">
            <w:pPr>
              <w:pStyle w:val="ListParagraph"/>
              <w:ind w:left="0"/>
              <w:jc w:val="right"/>
              <w:rPr>
                <w:rFonts w:cs="Arial"/>
                <w:bCs/>
                <w:sz w:val="20"/>
              </w:rPr>
            </w:pPr>
            <w:r w:rsidRPr="00E037F5">
              <w:rPr>
                <w:sz w:val="20"/>
              </w:rPr>
              <w:t>3,701</w:t>
            </w:r>
          </w:p>
        </w:tc>
        <w:tc>
          <w:tcPr>
            <w:tcW w:w="1053" w:type="dxa"/>
            <w:shd w:val="clear" w:color="auto" w:fill="auto"/>
          </w:tcPr>
          <w:p w14:paraId="5AAFD7A8" w14:textId="02D49123" w:rsidR="00E037F5" w:rsidRPr="00E037F5" w:rsidRDefault="00E037F5" w:rsidP="00E037F5">
            <w:pPr>
              <w:pStyle w:val="ListParagraph"/>
              <w:ind w:left="0"/>
              <w:jc w:val="right"/>
              <w:rPr>
                <w:rFonts w:cs="Arial"/>
                <w:bCs/>
                <w:sz w:val="20"/>
              </w:rPr>
            </w:pPr>
            <w:r w:rsidRPr="00E037F5">
              <w:rPr>
                <w:sz w:val="20"/>
              </w:rPr>
              <w:t>3,912</w:t>
            </w:r>
          </w:p>
        </w:tc>
        <w:tc>
          <w:tcPr>
            <w:tcW w:w="1106" w:type="dxa"/>
            <w:shd w:val="clear" w:color="000000" w:fill="FFFFFF"/>
          </w:tcPr>
          <w:p w14:paraId="26F134C1" w14:textId="2FD0A70F" w:rsidR="00E037F5" w:rsidRPr="00E037F5" w:rsidRDefault="00E037F5" w:rsidP="00E037F5">
            <w:pPr>
              <w:pStyle w:val="ListParagraph"/>
              <w:ind w:left="0"/>
              <w:jc w:val="right"/>
              <w:rPr>
                <w:rFonts w:cs="Arial"/>
                <w:bCs/>
                <w:sz w:val="20"/>
              </w:rPr>
            </w:pPr>
            <w:r w:rsidRPr="00E037F5">
              <w:rPr>
                <w:sz w:val="20"/>
              </w:rPr>
              <w:t>-117</w:t>
            </w:r>
          </w:p>
        </w:tc>
        <w:tc>
          <w:tcPr>
            <w:tcW w:w="1139" w:type="dxa"/>
            <w:shd w:val="clear" w:color="000000" w:fill="FFFFFF"/>
          </w:tcPr>
          <w:p w14:paraId="0E819919" w14:textId="72A5BEE5" w:rsidR="00E037F5" w:rsidRPr="00E037F5" w:rsidRDefault="00E037F5" w:rsidP="00E037F5">
            <w:pPr>
              <w:pStyle w:val="ListParagraph"/>
              <w:ind w:left="0"/>
              <w:jc w:val="right"/>
              <w:rPr>
                <w:rFonts w:cs="Arial"/>
                <w:bCs/>
                <w:sz w:val="20"/>
              </w:rPr>
            </w:pPr>
            <w:r w:rsidRPr="00E037F5">
              <w:rPr>
                <w:sz w:val="20"/>
              </w:rPr>
              <w:t>0</w:t>
            </w:r>
          </w:p>
        </w:tc>
        <w:tc>
          <w:tcPr>
            <w:tcW w:w="1110" w:type="dxa"/>
            <w:shd w:val="clear" w:color="000000" w:fill="FFFFFF"/>
          </w:tcPr>
          <w:p w14:paraId="1CDB046A" w14:textId="5B993CDE" w:rsidR="00E037F5" w:rsidRPr="00E037F5" w:rsidRDefault="00E037F5" w:rsidP="00E037F5">
            <w:pPr>
              <w:pStyle w:val="ListParagraph"/>
              <w:ind w:left="0"/>
              <w:jc w:val="right"/>
              <w:rPr>
                <w:rFonts w:cs="Arial"/>
                <w:bCs/>
                <w:sz w:val="20"/>
              </w:rPr>
            </w:pPr>
            <w:r w:rsidRPr="00E037F5">
              <w:rPr>
                <w:sz w:val="20"/>
              </w:rPr>
              <w:t>3,795</w:t>
            </w:r>
          </w:p>
        </w:tc>
        <w:tc>
          <w:tcPr>
            <w:tcW w:w="1168" w:type="dxa"/>
            <w:shd w:val="clear" w:color="000000" w:fill="FFFFFF"/>
          </w:tcPr>
          <w:p w14:paraId="1945100E" w14:textId="20C0FD39" w:rsidR="00E037F5" w:rsidRPr="00E037F5" w:rsidRDefault="00E037F5" w:rsidP="00E037F5">
            <w:pPr>
              <w:pStyle w:val="ListParagraph"/>
              <w:ind w:left="0"/>
              <w:jc w:val="right"/>
              <w:rPr>
                <w:rFonts w:cs="Arial"/>
                <w:bCs/>
                <w:sz w:val="20"/>
              </w:rPr>
            </w:pPr>
            <w:r w:rsidRPr="00E037F5">
              <w:rPr>
                <w:sz w:val="20"/>
              </w:rPr>
              <w:t>94</w:t>
            </w:r>
          </w:p>
        </w:tc>
        <w:tc>
          <w:tcPr>
            <w:tcW w:w="1050" w:type="dxa"/>
            <w:shd w:val="clear" w:color="auto" w:fill="auto"/>
          </w:tcPr>
          <w:p w14:paraId="68B3F0E0" w14:textId="26BF2EC1" w:rsidR="00E037F5" w:rsidRPr="00E037F5" w:rsidRDefault="00E037F5" w:rsidP="00E037F5">
            <w:pPr>
              <w:pStyle w:val="ListParagraph"/>
              <w:ind w:left="0"/>
              <w:jc w:val="right"/>
              <w:rPr>
                <w:rFonts w:cs="Arial"/>
                <w:bCs/>
                <w:sz w:val="20"/>
              </w:rPr>
            </w:pPr>
            <w:r w:rsidRPr="00E037F5">
              <w:rPr>
                <w:sz w:val="20"/>
              </w:rPr>
              <w:t>67</w:t>
            </w:r>
          </w:p>
        </w:tc>
        <w:tc>
          <w:tcPr>
            <w:tcW w:w="793" w:type="dxa"/>
            <w:shd w:val="clear" w:color="000000" w:fill="F2F2F2"/>
          </w:tcPr>
          <w:p w14:paraId="5A2CADF2" w14:textId="0F715AB0" w:rsidR="00E037F5" w:rsidRPr="00E037F5" w:rsidRDefault="00E037F5" w:rsidP="00E037F5">
            <w:pPr>
              <w:pStyle w:val="ListParagraph"/>
              <w:ind w:left="0"/>
              <w:jc w:val="right"/>
              <w:rPr>
                <w:rFonts w:cs="Arial"/>
                <w:bCs/>
                <w:sz w:val="20"/>
              </w:rPr>
            </w:pPr>
            <w:r w:rsidRPr="00E037F5">
              <w:rPr>
                <w:sz w:val="20"/>
              </w:rPr>
              <w:t>27</w:t>
            </w:r>
          </w:p>
        </w:tc>
      </w:tr>
      <w:tr w:rsidR="00E037F5" w:rsidRPr="00E037F5" w14:paraId="3D20C1EE" w14:textId="77777777" w:rsidTr="007C5E43">
        <w:tc>
          <w:tcPr>
            <w:tcW w:w="2592" w:type="dxa"/>
            <w:shd w:val="clear" w:color="auto" w:fill="auto"/>
          </w:tcPr>
          <w:p w14:paraId="360F9A0B" w14:textId="0AB0CABD" w:rsidR="00E037F5" w:rsidRPr="00E037F5" w:rsidRDefault="00E037F5" w:rsidP="00E037F5">
            <w:pPr>
              <w:pStyle w:val="ListParagraph"/>
              <w:ind w:left="0"/>
              <w:rPr>
                <w:rFonts w:cs="Arial"/>
                <w:bCs/>
                <w:sz w:val="20"/>
              </w:rPr>
            </w:pPr>
            <w:r w:rsidRPr="00E037F5">
              <w:rPr>
                <w:sz w:val="20"/>
              </w:rPr>
              <w:t>Regeneration &amp; Development</w:t>
            </w:r>
          </w:p>
        </w:tc>
        <w:tc>
          <w:tcPr>
            <w:tcW w:w="905" w:type="dxa"/>
            <w:shd w:val="clear" w:color="auto" w:fill="auto"/>
          </w:tcPr>
          <w:p w14:paraId="0F956B52" w14:textId="3B5E5C00" w:rsidR="00E037F5" w:rsidRPr="00E037F5" w:rsidRDefault="00E037F5" w:rsidP="00E037F5">
            <w:pPr>
              <w:pStyle w:val="ListParagraph"/>
              <w:ind w:left="0"/>
              <w:jc w:val="right"/>
              <w:rPr>
                <w:rFonts w:cs="Arial"/>
                <w:bCs/>
                <w:sz w:val="20"/>
              </w:rPr>
            </w:pPr>
            <w:r w:rsidRPr="00E037F5">
              <w:rPr>
                <w:sz w:val="20"/>
              </w:rPr>
              <w:t>3,183</w:t>
            </w:r>
          </w:p>
        </w:tc>
        <w:tc>
          <w:tcPr>
            <w:tcW w:w="1053" w:type="dxa"/>
            <w:shd w:val="clear" w:color="auto" w:fill="auto"/>
          </w:tcPr>
          <w:p w14:paraId="233E6EBA" w14:textId="2DFC2D57" w:rsidR="00E037F5" w:rsidRPr="00E037F5" w:rsidRDefault="00E037F5" w:rsidP="00E037F5">
            <w:pPr>
              <w:pStyle w:val="ListParagraph"/>
              <w:ind w:left="0"/>
              <w:jc w:val="right"/>
              <w:rPr>
                <w:rFonts w:cs="Arial"/>
                <w:bCs/>
                <w:sz w:val="20"/>
              </w:rPr>
            </w:pPr>
            <w:r w:rsidRPr="00E037F5">
              <w:rPr>
                <w:sz w:val="20"/>
              </w:rPr>
              <w:t>7,906</w:t>
            </w:r>
          </w:p>
        </w:tc>
        <w:tc>
          <w:tcPr>
            <w:tcW w:w="1106" w:type="dxa"/>
            <w:shd w:val="clear" w:color="000000" w:fill="FFFFFF"/>
          </w:tcPr>
          <w:p w14:paraId="2D2A8E71" w14:textId="3E642511" w:rsidR="00E037F5" w:rsidRPr="00E037F5" w:rsidRDefault="00E037F5" w:rsidP="00E037F5">
            <w:pPr>
              <w:pStyle w:val="ListParagraph"/>
              <w:ind w:left="0"/>
              <w:jc w:val="right"/>
              <w:rPr>
                <w:rFonts w:cs="Arial"/>
                <w:bCs/>
                <w:sz w:val="20"/>
              </w:rPr>
            </w:pPr>
            <w:r w:rsidRPr="00E037F5">
              <w:rPr>
                <w:sz w:val="20"/>
              </w:rPr>
              <w:t>-652</w:t>
            </w:r>
          </w:p>
        </w:tc>
        <w:tc>
          <w:tcPr>
            <w:tcW w:w="1139" w:type="dxa"/>
            <w:shd w:val="clear" w:color="000000" w:fill="FFFFFF"/>
          </w:tcPr>
          <w:p w14:paraId="54A759B8" w14:textId="27EF10AF" w:rsidR="00E037F5" w:rsidRPr="00E037F5" w:rsidRDefault="00E037F5" w:rsidP="00E037F5">
            <w:pPr>
              <w:pStyle w:val="ListParagraph"/>
              <w:ind w:left="0"/>
              <w:jc w:val="right"/>
              <w:rPr>
                <w:rFonts w:cs="Arial"/>
                <w:bCs/>
                <w:sz w:val="20"/>
              </w:rPr>
            </w:pPr>
            <w:r w:rsidRPr="00E037F5">
              <w:rPr>
                <w:sz w:val="20"/>
              </w:rPr>
              <w:t>-1</w:t>
            </w:r>
            <w:r>
              <w:rPr>
                <w:sz w:val="20"/>
              </w:rPr>
              <w:t>,</w:t>
            </w:r>
            <w:r w:rsidRPr="00E037F5">
              <w:rPr>
                <w:sz w:val="20"/>
              </w:rPr>
              <w:t>250</w:t>
            </w:r>
          </w:p>
        </w:tc>
        <w:tc>
          <w:tcPr>
            <w:tcW w:w="1110" w:type="dxa"/>
            <w:shd w:val="clear" w:color="000000" w:fill="FFFFFF"/>
          </w:tcPr>
          <w:p w14:paraId="3329CB6D" w14:textId="40651E7F" w:rsidR="00E037F5" w:rsidRPr="00E037F5" w:rsidRDefault="00E037F5" w:rsidP="00E037F5">
            <w:pPr>
              <w:pStyle w:val="ListParagraph"/>
              <w:ind w:left="0"/>
              <w:jc w:val="right"/>
              <w:rPr>
                <w:rFonts w:cs="Arial"/>
                <w:bCs/>
                <w:sz w:val="20"/>
              </w:rPr>
            </w:pPr>
            <w:r w:rsidRPr="00E037F5">
              <w:rPr>
                <w:sz w:val="20"/>
              </w:rPr>
              <w:t>6,004</w:t>
            </w:r>
          </w:p>
        </w:tc>
        <w:tc>
          <w:tcPr>
            <w:tcW w:w="1168" w:type="dxa"/>
            <w:shd w:val="clear" w:color="000000" w:fill="FFFFFF"/>
          </w:tcPr>
          <w:p w14:paraId="656DD76F" w14:textId="024FBA91" w:rsidR="00E037F5" w:rsidRPr="00E037F5" w:rsidRDefault="00E037F5" w:rsidP="00E037F5">
            <w:pPr>
              <w:pStyle w:val="ListParagraph"/>
              <w:ind w:left="0"/>
              <w:jc w:val="right"/>
              <w:rPr>
                <w:rFonts w:cs="Arial"/>
                <w:bCs/>
                <w:sz w:val="20"/>
              </w:rPr>
            </w:pPr>
            <w:r w:rsidRPr="00E037F5">
              <w:rPr>
                <w:sz w:val="20"/>
              </w:rPr>
              <w:t>2,821</w:t>
            </w:r>
          </w:p>
        </w:tc>
        <w:tc>
          <w:tcPr>
            <w:tcW w:w="1050" w:type="dxa"/>
            <w:shd w:val="clear" w:color="auto" w:fill="auto"/>
          </w:tcPr>
          <w:p w14:paraId="794C7660" w14:textId="47B50AA4" w:rsidR="00E037F5" w:rsidRPr="00E037F5" w:rsidRDefault="00E037F5" w:rsidP="00E037F5">
            <w:pPr>
              <w:pStyle w:val="ListParagraph"/>
              <w:ind w:left="0"/>
              <w:jc w:val="right"/>
              <w:rPr>
                <w:rFonts w:cs="Arial"/>
                <w:bCs/>
                <w:sz w:val="20"/>
              </w:rPr>
            </w:pPr>
            <w:r w:rsidRPr="00E037F5">
              <w:rPr>
                <w:sz w:val="20"/>
              </w:rPr>
              <w:t>2,336</w:t>
            </w:r>
          </w:p>
        </w:tc>
        <w:tc>
          <w:tcPr>
            <w:tcW w:w="793" w:type="dxa"/>
            <w:shd w:val="clear" w:color="000000" w:fill="F2F2F2"/>
          </w:tcPr>
          <w:p w14:paraId="0566358B" w14:textId="076617BE" w:rsidR="00E037F5" w:rsidRPr="00E037F5" w:rsidRDefault="00E037F5" w:rsidP="00E037F5">
            <w:pPr>
              <w:pStyle w:val="ListParagraph"/>
              <w:ind w:left="0"/>
              <w:jc w:val="right"/>
              <w:rPr>
                <w:rFonts w:cs="Arial"/>
                <w:bCs/>
                <w:sz w:val="20"/>
              </w:rPr>
            </w:pPr>
            <w:r w:rsidRPr="00E037F5">
              <w:rPr>
                <w:sz w:val="20"/>
              </w:rPr>
              <w:t>485</w:t>
            </w:r>
          </w:p>
        </w:tc>
      </w:tr>
      <w:tr w:rsidR="00E037F5" w:rsidRPr="00E037F5" w14:paraId="36BFFF3F" w14:textId="77777777" w:rsidTr="007C5E43">
        <w:tc>
          <w:tcPr>
            <w:tcW w:w="2592" w:type="dxa"/>
            <w:shd w:val="clear" w:color="auto" w:fill="auto"/>
          </w:tcPr>
          <w:p w14:paraId="5E381DCF" w14:textId="72A97630" w:rsidR="00E037F5" w:rsidRPr="00E037F5" w:rsidRDefault="00E037F5" w:rsidP="00E037F5">
            <w:pPr>
              <w:pStyle w:val="ListParagraph"/>
              <w:ind w:left="0"/>
              <w:rPr>
                <w:rFonts w:cs="Arial"/>
                <w:bCs/>
                <w:sz w:val="20"/>
              </w:rPr>
            </w:pPr>
            <w:r w:rsidRPr="00E037F5">
              <w:rPr>
                <w:sz w:val="20"/>
              </w:rPr>
              <w:t>Housing General Fund</w:t>
            </w:r>
          </w:p>
        </w:tc>
        <w:tc>
          <w:tcPr>
            <w:tcW w:w="905" w:type="dxa"/>
            <w:shd w:val="clear" w:color="auto" w:fill="auto"/>
          </w:tcPr>
          <w:p w14:paraId="29DC70BB" w14:textId="6A28090B" w:rsidR="00E037F5" w:rsidRPr="00E037F5" w:rsidRDefault="00E037F5" w:rsidP="00E037F5">
            <w:pPr>
              <w:pStyle w:val="ListParagraph"/>
              <w:ind w:left="0"/>
              <w:jc w:val="right"/>
              <w:rPr>
                <w:rFonts w:cs="Arial"/>
                <w:bCs/>
                <w:sz w:val="20"/>
              </w:rPr>
            </w:pPr>
            <w:r w:rsidRPr="00E037F5">
              <w:rPr>
                <w:sz w:val="20"/>
              </w:rPr>
              <w:t>3,808</w:t>
            </w:r>
          </w:p>
        </w:tc>
        <w:tc>
          <w:tcPr>
            <w:tcW w:w="1053" w:type="dxa"/>
            <w:shd w:val="clear" w:color="auto" w:fill="auto"/>
          </w:tcPr>
          <w:p w14:paraId="5864392B" w14:textId="1CEFE3B5" w:rsidR="00E037F5" w:rsidRPr="00E037F5" w:rsidRDefault="00E037F5" w:rsidP="00E037F5">
            <w:pPr>
              <w:pStyle w:val="ListParagraph"/>
              <w:ind w:left="0"/>
              <w:jc w:val="right"/>
              <w:rPr>
                <w:rFonts w:cs="Arial"/>
                <w:bCs/>
                <w:sz w:val="20"/>
              </w:rPr>
            </w:pPr>
            <w:r w:rsidRPr="00E037F5">
              <w:rPr>
                <w:sz w:val="20"/>
              </w:rPr>
              <w:t>3,836</w:t>
            </w:r>
          </w:p>
        </w:tc>
        <w:tc>
          <w:tcPr>
            <w:tcW w:w="1106" w:type="dxa"/>
            <w:shd w:val="clear" w:color="000000" w:fill="FFFFFF"/>
          </w:tcPr>
          <w:p w14:paraId="17F20EED" w14:textId="47983704" w:rsidR="00E037F5" w:rsidRPr="00E037F5" w:rsidRDefault="00E037F5" w:rsidP="00E037F5">
            <w:pPr>
              <w:pStyle w:val="ListParagraph"/>
              <w:ind w:left="0"/>
              <w:jc w:val="right"/>
              <w:rPr>
                <w:rFonts w:cs="Arial"/>
                <w:bCs/>
                <w:sz w:val="20"/>
              </w:rPr>
            </w:pPr>
          </w:p>
        </w:tc>
        <w:tc>
          <w:tcPr>
            <w:tcW w:w="1139" w:type="dxa"/>
            <w:shd w:val="clear" w:color="000000" w:fill="FFFFFF"/>
          </w:tcPr>
          <w:p w14:paraId="3C334794" w14:textId="39FF6222" w:rsidR="00E037F5" w:rsidRPr="00E037F5" w:rsidRDefault="00E037F5" w:rsidP="00E037F5">
            <w:pPr>
              <w:pStyle w:val="ListParagraph"/>
              <w:ind w:left="0"/>
              <w:jc w:val="right"/>
              <w:rPr>
                <w:rFonts w:cs="Arial"/>
                <w:bCs/>
                <w:sz w:val="20"/>
              </w:rPr>
            </w:pPr>
            <w:r w:rsidRPr="00E037F5">
              <w:rPr>
                <w:sz w:val="20"/>
              </w:rPr>
              <w:t>-268</w:t>
            </w:r>
          </w:p>
        </w:tc>
        <w:tc>
          <w:tcPr>
            <w:tcW w:w="1110" w:type="dxa"/>
            <w:shd w:val="clear" w:color="000000" w:fill="FFFFFF"/>
          </w:tcPr>
          <w:p w14:paraId="164DDC6C" w14:textId="156481DA" w:rsidR="00E037F5" w:rsidRPr="00E037F5" w:rsidRDefault="00E037F5" w:rsidP="00E037F5">
            <w:pPr>
              <w:pStyle w:val="ListParagraph"/>
              <w:ind w:left="0"/>
              <w:jc w:val="right"/>
              <w:rPr>
                <w:rFonts w:cs="Arial"/>
                <w:bCs/>
                <w:sz w:val="20"/>
              </w:rPr>
            </w:pPr>
            <w:r w:rsidRPr="00E037F5">
              <w:rPr>
                <w:sz w:val="20"/>
              </w:rPr>
              <w:t>3,568</w:t>
            </w:r>
          </w:p>
        </w:tc>
        <w:tc>
          <w:tcPr>
            <w:tcW w:w="1168" w:type="dxa"/>
            <w:shd w:val="clear" w:color="000000" w:fill="FFFFFF"/>
          </w:tcPr>
          <w:p w14:paraId="440DE50A" w14:textId="4BD65752" w:rsidR="00E037F5" w:rsidRPr="00E037F5" w:rsidRDefault="00E037F5" w:rsidP="00E037F5">
            <w:pPr>
              <w:pStyle w:val="ListParagraph"/>
              <w:ind w:left="0"/>
              <w:jc w:val="right"/>
              <w:rPr>
                <w:rFonts w:cs="Arial"/>
                <w:bCs/>
                <w:sz w:val="20"/>
              </w:rPr>
            </w:pPr>
            <w:r w:rsidRPr="00E037F5">
              <w:rPr>
                <w:sz w:val="20"/>
              </w:rPr>
              <w:t>-240</w:t>
            </w:r>
          </w:p>
        </w:tc>
        <w:tc>
          <w:tcPr>
            <w:tcW w:w="1050" w:type="dxa"/>
            <w:shd w:val="clear" w:color="auto" w:fill="auto"/>
          </w:tcPr>
          <w:p w14:paraId="1C097B31" w14:textId="78E0B76F" w:rsidR="00E037F5" w:rsidRPr="00E037F5" w:rsidRDefault="00E037F5" w:rsidP="00E037F5">
            <w:pPr>
              <w:pStyle w:val="ListParagraph"/>
              <w:ind w:left="0"/>
              <w:jc w:val="right"/>
              <w:rPr>
                <w:rFonts w:cs="Arial"/>
                <w:bCs/>
                <w:sz w:val="20"/>
              </w:rPr>
            </w:pPr>
            <w:r w:rsidRPr="00E037F5">
              <w:rPr>
                <w:sz w:val="20"/>
              </w:rPr>
              <w:t>0</w:t>
            </w:r>
          </w:p>
        </w:tc>
        <w:tc>
          <w:tcPr>
            <w:tcW w:w="793" w:type="dxa"/>
            <w:shd w:val="clear" w:color="000000" w:fill="F2F2F2"/>
          </w:tcPr>
          <w:p w14:paraId="32C7D195" w14:textId="5FEA0493" w:rsidR="00E037F5" w:rsidRPr="00E037F5" w:rsidRDefault="00E037F5" w:rsidP="00E037F5">
            <w:pPr>
              <w:pStyle w:val="ListParagraph"/>
              <w:ind w:left="0"/>
              <w:jc w:val="right"/>
              <w:rPr>
                <w:rFonts w:cs="Arial"/>
                <w:bCs/>
                <w:sz w:val="20"/>
              </w:rPr>
            </w:pPr>
            <w:r w:rsidRPr="00E037F5">
              <w:rPr>
                <w:sz w:val="20"/>
              </w:rPr>
              <w:t>-240</w:t>
            </w:r>
          </w:p>
        </w:tc>
      </w:tr>
      <w:tr w:rsidR="00E037F5" w:rsidRPr="00E037F5" w14:paraId="0B2C4514" w14:textId="77777777" w:rsidTr="007C5E43">
        <w:tc>
          <w:tcPr>
            <w:tcW w:w="2592" w:type="dxa"/>
            <w:shd w:val="clear" w:color="auto" w:fill="auto"/>
          </w:tcPr>
          <w:p w14:paraId="4C23C54A" w14:textId="2FBE60EE" w:rsidR="00E037F5" w:rsidRPr="00E037F5" w:rsidRDefault="00E037F5" w:rsidP="00E037F5">
            <w:pPr>
              <w:pStyle w:val="ListParagraph"/>
              <w:ind w:left="0"/>
              <w:rPr>
                <w:rFonts w:cs="Arial"/>
                <w:b/>
                <w:bCs/>
                <w:sz w:val="20"/>
              </w:rPr>
            </w:pPr>
            <w:r w:rsidRPr="00E037F5">
              <w:rPr>
                <w:b/>
                <w:bCs/>
                <w:sz w:val="20"/>
              </w:rPr>
              <w:t>Total Budget</w:t>
            </w:r>
          </w:p>
        </w:tc>
        <w:tc>
          <w:tcPr>
            <w:tcW w:w="905" w:type="dxa"/>
            <w:shd w:val="clear" w:color="auto" w:fill="auto"/>
          </w:tcPr>
          <w:p w14:paraId="13549522" w14:textId="35996905" w:rsidR="00E037F5" w:rsidRPr="00E037F5" w:rsidRDefault="00E037F5" w:rsidP="00E037F5">
            <w:pPr>
              <w:pStyle w:val="ListParagraph"/>
              <w:ind w:left="0"/>
              <w:jc w:val="right"/>
              <w:rPr>
                <w:rFonts w:cs="Arial"/>
                <w:b/>
                <w:bCs/>
                <w:sz w:val="20"/>
              </w:rPr>
            </w:pPr>
            <w:r w:rsidRPr="00E037F5">
              <w:rPr>
                <w:b/>
                <w:bCs/>
                <w:sz w:val="20"/>
              </w:rPr>
              <w:t>29,791</w:t>
            </w:r>
          </w:p>
        </w:tc>
        <w:tc>
          <w:tcPr>
            <w:tcW w:w="1053" w:type="dxa"/>
            <w:shd w:val="clear" w:color="auto" w:fill="auto"/>
          </w:tcPr>
          <w:p w14:paraId="58B0A668" w14:textId="595EC77F" w:rsidR="00E037F5" w:rsidRPr="00E037F5" w:rsidRDefault="00E037F5" w:rsidP="00E037F5">
            <w:pPr>
              <w:pStyle w:val="ListParagraph"/>
              <w:ind w:left="0"/>
              <w:jc w:val="right"/>
              <w:rPr>
                <w:rFonts w:cs="Arial"/>
                <w:b/>
                <w:bCs/>
                <w:sz w:val="20"/>
              </w:rPr>
            </w:pPr>
            <w:r w:rsidRPr="00E037F5">
              <w:rPr>
                <w:b/>
                <w:bCs/>
                <w:sz w:val="20"/>
              </w:rPr>
              <w:t>37,323</w:t>
            </w:r>
          </w:p>
        </w:tc>
        <w:tc>
          <w:tcPr>
            <w:tcW w:w="1106" w:type="dxa"/>
            <w:shd w:val="clear" w:color="000000" w:fill="FFFFFF"/>
          </w:tcPr>
          <w:p w14:paraId="0BECD84C" w14:textId="24183572" w:rsidR="00E037F5" w:rsidRPr="00E037F5" w:rsidRDefault="00E037F5" w:rsidP="00E037F5">
            <w:pPr>
              <w:pStyle w:val="ListParagraph"/>
              <w:ind w:left="0"/>
              <w:jc w:val="right"/>
              <w:rPr>
                <w:rFonts w:cs="Arial"/>
                <w:b/>
                <w:bCs/>
                <w:sz w:val="20"/>
              </w:rPr>
            </w:pPr>
            <w:r w:rsidRPr="00E037F5">
              <w:rPr>
                <w:b/>
                <w:bCs/>
                <w:sz w:val="20"/>
              </w:rPr>
              <w:t>-1,881</w:t>
            </w:r>
          </w:p>
        </w:tc>
        <w:tc>
          <w:tcPr>
            <w:tcW w:w="1139" w:type="dxa"/>
            <w:shd w:val="clear" w:color="000000" w:fill="FFFFFF"/>
          </w:tcPr>
          <w:p w14:paraId="1832A065" w14:textId="4FC715E1" w:rsidR="00E037F5" w:rsidRPr="00E037F5" w:rsidRDefault="00E037F5" w:rsidP="00E037F5">
            <w:pPr>
              <w:pStyle w:val="ListParagraph"/>
              <w:ind w:left="0"/>
              <w:jc w:val="right"/>
              <w:rPr>
                <w:rFonts w:cs="Arial"/>
                <w:b/>
                <w:bCs/>
                <w:sz w:val="20"/>
              </w:rPr>
            </w:pPr>
            <w:r w:rsidRPr="00E037F5">
              <w:rPr>
                <w:b/>
                <w:bCs/>
                <w:sz w:val="20"/>
              </w:rPr>
              <w:t>-1,518</w:t>
            </w:r>
          </w:p>
        </w:tc>
        <w:tc>
          <w:tcPr>
            <w:tcW w:w="1110" w:type="dxa"/>
            <w:shd w:val="clear" w:color="000000" w:fill="FFFFFF"/>
          </w:tcPr>
          <w:p w14:paraId="694012CA" w14:textId="239F2CCF" w:rsidR="00E037F5" w:rsidRPr="00E037F5" w:rsidRDefault="00E037F5" w:rsidP="00E037F5">
            <w:pPr>
              <w:pStyle w:val="ListParagraph"/>
              <w:ind w:left="0"/>
              <w:jc w:val="right"/>
              <w:rPr>
                <w:rFonts w:cs="Arial"/>
                <w:b/>
                <w:bCs/>
                <w:sz w:val="20"/>
              </w:rPr>
            </w:pPr>
            <w:r w:rsidRPr="00E037F5">
              <w:rPr>
                <w:b/>
                <w:bCs/>
                <w:sz w:val="20"/>
              </w:rPr>
              <w:t>33,924</w:t>
            </w:r>
          </w:p>
        </w:tc>
        <w:tc>
          <w:tcPr>
            <w:tcW w:w="1168" w:type="dxa"/>
            <w:shd w:val="clear" w:color="000000" w:fill="FFFFFF"/>
          </w:tcPr>
          <w:p w14:paraId="5A1DAFE4" w14:textId="2C86D366" w:rsidR="00E037F5" w:rsidRPr="00E037F5" w:rsidRDefault="00E037F5" w:rsidP="00E037F5">
            <w:pPr>
              <w:pStyle w:val="ListParagraph"/>
              <w:ind w:left="0"/>
              <w:jc w:val="right"/>
              <w:rPr>
                <w:rFonts w:cs="Arial"/>
                <w:b/>
                <w:bCs/>
                <w:sz w:val="20"/>
              </w:rPr>
            </w:pPr>
            <w:r w:rsidRPr="00E037F5">
              <w:rPr>
                <w:b/>
                <w:bCs/>
                <w:sz w:val="20"/>
              </w:rPr>
              <w:t>4,133</w:t>
            </w:r>
          </w:p>
        </w:tc>
        <w:tc>
          <w:tcPr>
            <w:tcW w:w="1050" w:type="dxa"/>
            <w:shd w:val="clear" w:color="auto" w:fill="auto"/>
          </w:tcPr>
          <w:p w14:paraId="320F4FE6" w14:textId="4B68AD7F" w:rsidR="00E037F5" w:rsidRPr="00E037F5" w:rsidRDefault="00E037F5" w:rsidP="00E037F5">
            <w:pPr>
              <w:pStyle w:val="ListParagraph"/>
              <w:ind w:left="0"/>
              <w:jc w:val="right"/>
              <w:rPr>
                <w:rFonts w:cs="Arial"/>
                <w:b/>
                <w:bCs/>
                <w:sz w:val="20"/>
              </w:rPr>
            </w:pPr>
            <w:r w:rsidRPr="00E037F5">
              <w:rPr>
                <w:b/>
                <w:bCs/>
                <w:sz w:val="20"/>
              </w:rPr>
              <w:t>3,390</w:t>
            </w:r>
          </w:p>
        </w:tc>
        <w:tc>
          <w:tcPr>
            <w:tcW w:w="793" w:type="dxa"/>
            <w:shd w:val="clear" w:color="000000" w:fill="F2F2F2"/>
          </w:tcPr>
          <w:p w14:paraId="1078F3C3" w14:textId="09D4B8E2" w:rsidR="00E037F5" w:rsidRPr="00E037F5" w:rsidRDefault="00E037F5" w:rsidP="00E037F5">
            <w:pPr>
              <w:pStyle w:val="ListParagraph"/>
              <w:ind w:left="0"/>
              <w:jc w:val="right"/>
              <w:rPr>
                <w:rFonts w:cs="Arial"/>
                <w:b/>
                <w:bCs/>
                <w:sz w:val="20"/>
              </w:rPr>
            </w:pPr>
            <w:r w:rsidRPr="00E037F5">
              <w:rPr>
                <w:b/>
                <w:bCs/>
                <w:sz w:val="20"/>
              </w:rPr>
              <w:t>743</w:t>
            </w:r>
          </w:p>
        </w:tc>
      </w:tr>
    </w:tbl>
    <w:p w14:paraId="57EBBDA9" w14:textId="67DC6D40" w:rsidR="00F5674D" w:rsidRDefault="00F5674D" w:rsidP="00F5674D">
      <w:pPr>
        <w:pStyle w:val="ListParagraph"/>
        <w:ind w:left="567"/>
        <w:jc w:val="both"/>
        <w:rPr>
          <w:rFonts w:cs="Arial"/>
          <w:bCs/>
        </w:rPr>
      </w:pPr>
    </w:p>
    <w:p w14:paraId="53990E9B" w14:textId="74B6E7FF" w:rsidR="00B83B56" w:rsidRDefault="00B83B56" w:rsidP="00B83B56">
      <w:pPr>
        <w:pStyle w:val="ListParagraph"/>
        <w:numPr>
          <w:ilvl w:val="0"/>
          <w:numId w:val="4"/>
        </w:numPr>
        <w:ind w:left="567" w:hanging="567"/>
        <w:jc w:val="both"/>
        <w:rPr>
          <w:rFonts w:cs="Arial"/>
          <w:bCs/>
        </w:rPr>
      </w:pPr>
      <w:r>
        <w:rPr>
          <w:rFonts w:cs="Arial"/>
          <w:bCs/>
        </w:rPr>
        <w:t>As at Q</w:t>
      </w:r>
      <w:r w:rsidR="00E037F5">
        <w:rPr>
          <w:rFonts w:cs="Arial"/>
          <w:bCs/>
        </w:rPr>
        <w:t>2</w:t>
      </w:r>
      <w:r>
        <w:rPr>
          <w:rFonts w:cs="Arial"/>
          <w:bCs/>
        </w:rPr>
        <w:t xml:space="preserve"> the directorate is reporting a net overspend of £</w:t>
      </w:r>
      <w:r w:rsidR="00E037F5">
        <w:rPr>
          <w:rFonts w:cs="Arial"/>
          <w:bCs/>
        </w:rPr>
        <w:t>4.133m</w:t>
      </w:r>
      <w:r>
        <w:rPr>
          <w:rFonts w:cs="Arial"/>
          <w:bCs/>
        </w:rPr>
        <w:t>m after draw down from reserves and cross-divisional adjustments.</w:t>
      </w:r>
    </w:p>
    <w:p w14:paraId="31D22C52" w14:textId="77777777" w:rsidR="00B83B56" w:rsidRDefault="00B83B56" w:rsidP="00B83B56">
      <w:pPr>
        <w:pStyle w:val="ListParagraph"/>
        <w:ind w:left="567"/>
        <w:jc w:val="both"/>
        <w:rPr>
          <w:rFonts w:cs="Arial"/>
          <w:bCs/>
        </w:rPr>
      </w:pPr>
    </w:p>
    <w:p w14:paraId="4B49B18A" w14:textId="507FD297" w:rsidR="00B83B56" w:rsidRDefault="00B83B56" w:rsidP="00B83B56">
      <w:pPr>
        <w:pStyle w:val="ListParagraph"/>
        <w:numPr>
          <w:ilvl w:val="0"/>
          <w:numId w:val="4"/>
        </w:numPr>
        <w:ind w:left="567" w:hanging="567"/>
        <w:jc w:val="both"/>
        <w:rPr>
          <w:rFonts w:cs="Arial"/>
          <w:bCs/>
        </w:rPr>
      </w:pPr>
      <w:r>
        <w:rPr>
          <w:rFonts w:cs="Arial"/>
          <w:bCs/>
        </w:rPr>
        <w:t>Of this, £2.4</w:t>
      </w:r>
      <w:r w:rsidR="00E037F5">
        <w:rPr>
          <w:rFonts w:cs="Arial"/>
          <w:bCs/>
        </w:rPr>
        <w:t>64</w:t>
      </w:r>
      <w:r>
        <w:rPr>
          <w:rFonts w:cs="Arial"/>
          <w:bCs/>
        </w:rPr>
        <w:t>m relates to energy and fuel cost pressures due to the recent surges in the unit price of electricity, gas, and fuel. This will be funded by the non-pay inflation budget of £2.75m which is held corporately.</w:t>
      </w:r>
    </w:p>
    <w:p w14:paraId="52BED76D" w14:textId="6EDB881B" w:rsidR="00E9752B" w:rsidRDefault="00E9752B" w:rsidP="00B83B56">
      <w:pPr>
        <w:pStyle w:val="ListParagraph"/>
        <w:numPr>
          <w:ilvl w:val="0"/>
          <w:numId w:val="4"/>
        </w:numPr>
        <w:ind w:left="567" w:hanging="567"/>
        <w:jc w:val="both"/>
        <w:rPr>
          <w:rFonts w:cs="Arial"/>
          <w:bCs/>
        </w:rPr>
      </w:pPr>
      <w:r>
        <w:rPr>
          <w:rFonts w:cs="Arial"/>
          <w:bCs/>
        </w:rPr>
        <w:lastRenderedPageBreak/>
        <w:t xml:space="preserve">This an increased overspend of £743k from the position reported at Q1 </w:t>
      </w:r>
      <w:r w:rsidR="00787709">
        <w:rPr>
          <w:rFonts w:cs="Arial"/>
          <w:bCs/>
        </w:rPr>
        <w:t>as follows</w:t>
      </w:r>
    </w:p>
    <w:p w14:paraId="78753AEF" w14:textId="77777777" w:rsidR="00E9752B" w:rsidRPr="00E9752B" w:rsidRDefault="00E9752B" w:rsidP="00E9752B">
      <w:pPr>
        <w:pStyle w:val="ListParagraph"/>
        <w:rPr>
          <w:rFonts w:cs="Arial"/>
          <w:bCs/>
        </w:rPr>
      </w:pPr>
    </w:p>
    <w:p w14:paraId="5D895455" w14:textId="22FD1553" w:rsidR="00E9752B" w:rsidRDefault="00E9752B" w:rsidP="00E9752B">
      <w:pPr>
        <w:pStyle w:val="ListParagraph"/>
        <w:numPr>
          <w:ilvl w:val="1"/>
          <w:numId w:val="4"/>
        </w:numPr>
        <w:ind w:left="1418" w:hanging="567"/>
        <w:jc w:val="both"/>
        <w:rPr>
          <w:rFonts w:cs="Arial"/>
          <w:bCs/>
        </w:rPr>
      </w:pPr>
      <w:r w:rsidRPr="00E9752B">
        <w:rPr>
          <w:rFonts w:cs="Arial"/>
          <w:b/>
        </w:rPr>
        <w:t>Loss of income since Covid</w:t>
      </w:r>
      <w:r>
        <w:rPr>
          <w:rFonts w:cs="Arial"/>
          <w:bCs/>
        </w:rPr>
        <w:t xml:space="preserve"> - £1.021m mainly related to reduction in revenue from PCN income and licencing activities</w:t>
      </w:r>
    </w:p>
    <w:p w14:paraId="34B9B946" w14:textId="46ECAD62" w:rsidR="00E9752B" w:rsidRDefault="00E9752B" w:rsidP="00E9752B">
      <w:pPr>
        <w:pStyle w:val="ListParagraph"/>
        <w:numPr>
          <w:ilvl w:val="1"/>
          <w:numId w:val="4"/>
        </w:numPr>
        <w:ind w:left="1418" w:hanging="567"/>
        <w:jc w:val="both"/>
        <w:rPr>
          <w:rFonts w:cs="Arial"/>
          <w:bCs/>
        </w:rPr>
      </w:pPr>
      <w:r w:rsidRPr="00E9752B">
        <w:rPr>
          <w:rFonts w:cs="Arial"/>
          <w:b/>
        </w:rPr>
        <w:t>Facilities Management</w:t>
      </w:r>
      <w:r>
        <w:rPr>
          <w:rFonts w:cs="Arial"/>
          <w:bCs/>
        </w:rPr>
        <w:t xml:space="preserve"> - £260k increase due to residual spend on Covid related works and additional repairs across the corporate portfolio</w:t>
      </w:r>
    </w:p>
    <w:p w14:paraId="00C4570E" w14:textId="15FEC6CC" w:rsidR="00E9752B" w:rsidRDefault="00E9752B" w:rsidP="00E9752B">
      <w:pPr>
        <w:pStyle w:val="ListParagraph"/>
        <w:numPr>
          <w:ilvl w:val="1"/>
          <w:numId w:val="4"/>
        </w:numPr>
        <w:ind w:left="1418" w:hanging="567"/>
        <w:jc w:val="both"/>
        <w:rPr>
          <w:rFonts w:cs="Arial"/>
          <w:bCs/>
        </w:rPr>
      </w:pPr>
      <w:r w:rsidRPr="00E9752B">
        <w:rPr>
          <w:rFonts w:cs="Arial"/>
          <w:b/>
        </w:rPr>
        <w:t>Planning Services</w:t>
      </w:r>
      <w:r>
        <w:rPr>
          <w:rFonts w:cs="Arial"/>
          <w:bCs/>
        </w:rPr>
        <w:t xml:space="preserve"> - £129k increase due to additional legal costs and spend on external consultancy services predominantly to assist with enforcement activities</w:t>
      </w:r>
    </w:p>
    <w:p w14:paraId="6A1D37C7" w14:textId="5BB7F348" w:rsidR="00E9752B" w:rsidRDefault="00E9752B" w:rsidP="00E9752B">
      <w:pPr>
        <w:pStyle w:val="ListParagraph"/>
        <w:numPr>
          <w:ilvl w:val="1"/>
          <w:numId w:val="4"/>
        </w:numPr>
        <w:ind w:left="1418" w:hanging="567"/>
        <w:jc w:val="both"/>
        <w:rPr>
          <w:rFonts w:cs="Arial"/>
          <w:bCs/>
        </w:rPr>
      </w:pPr>
      <w:r w:rsidRPr="00E9752B">
        <w:rPr>
          <w:rFonts w:cs="Arial"/>
          <w:b/>
        </w:rPr>
        <w:t>Dry Recycling Waste Disposal</w:t>
      </w:r>
      <w:r>
        <w:rPr>
          <w:rFonts w:cs="Arial"/>
          <w:bCs/>
        </w:rPr>
        <w:t xml:space="preserve"> - £300k increased underspend </w:t>
      </w:r>
      <w:r w:rsidR="00930F7A">
        <w:rPr>
          <w:rFonts w:cs="Arial"/>
          <w:bCs/>
        </w:rPr>
        <w:t>due</w:t>
      </w:r>
      <w:r>
        <w:rPr>
          <w:rFonts w:cs="Arial"/>
          <w:bCs/>
        </w:rPr>
        <w:t xml:space="preserve"> to reduced monthly gate fees</w:t>
      </w:r>
    </w:p>
    <w:p w14:paraId="217DC538" w14:textId="1CA10F69" w:rsidR="00E9752B" w:rsidRDefault="00E9752B" w:rsidP="00E9752B">
      <w:pPr>
        <w:pStyle w:val="ListParagraph"/>
        <w:numPr>
          <w:ilvl w:val="1"/>
          <w:numId w:val="4"/>
        </w:numPr>
        <w:ind w:left="1418" w:hanging="567"/>
        <w:jc w:val="both"/>
        <w:rPr>
          <w:rFonts w:cs="Arial"/>
          <w:bCs/>
        </w:rPr>
      </w:pPr>
      <w:r w:rsidRPr="00E9752B">
        <w:rPr>
          <w:rFonts w:cs="Arial"/>
          <w:b/>
        </w:rPr>
        <w:t>Housing General Fund</w:t>
      </w:r>
      <w:r>
        <w:rPr>
          <w:rFonts w:cs="Arial"/>
          <w:bCs/>
        </w:rPr>
        <w:t xml:space="preserve"> - £240k underspend</w:t>
      </w:r>
    </w:p>
    <w:p w14:paraId="69D8F619" w14:textId="6C643014" w:rsidR="00E9752B" w:rsidRPr="00F5674D" w:rsidRDefault="00E9752B" w:rsidP="00E9752B">
      <w:pPr>
        <w:pStyle w:val="ListParagraph"/>
        <w:numPr>
          <w:ilvl w:val="1"/>
          <w:numId w:val="4"/>
        </w:numPr>
        <w:ind w:left="1418" w:hanging="567"/>
        <w:jc w:val="both"/>
        <w:rPr>
          <w:rFonts w:cs="Arial"/>
          <w:bCs/>
        </w:rPr>
      </w:pPr>
      <w:r w:rsidRPr="00E9752B">
        <w:rPr>
          <w:rFonts w:cs="Arial"/>
          <w:b/>
        </w:rPr>
        <w:t>Carpenders Park Cemetery</w:t>
      </w:r>
      <w:r>
        <w:rPr>
          <w:rFonts w:cs="Arial"/>
          <w:bCs/>
        </w:rPr>
        <w:t xml:space="preserve"> - £100k reduction in forecast for management fees.</w:t>
      </w:r>
    </w:p>
    <w:p w14:paraId="7D9BC112" w14:textId="5B4AC639" w:rsidR="00B83B56" w:rsidRDefault="00B83B56" w:rsidP="00F5674D">
      <w:pPr>
        <w:pStyle w:val="ListParagraph"/>
        <w:ind w:left="567"/>
        <w:jc w:val="both"/>
        <w:rPr>
          <w:rFonts w:cs="Arial"/>
          <w:bCs/>
        </w:rPr>
      </w:pPr>
    </w:p>
    <w:p w14:paraId="1EF282F4" w14:textId="3D9BA8AF" w:rsidR="00B83B56" w:rsidRDefault="00B83B56" w:rsidP="00B83B56">
      <w:pPr>
        <w:pStyle w:val="ListParagraph"/>
        <w:numPr>
          <w:ilvl w:val="0"/>
          <w:numId w:val="4"/>
        </w:numPr>
        <w:ind w:left="567" w:hanging="567"/>
        <w:jc w:val="both"/>
        <w:rPr>
          <w:rFonts w:cs="Arial"/>
          <w:bCs/>
        </w:rPr>
      </w:pPr>
      <w:r>
        <w:rPr>
          <w:rFonts w:cs="Arial"/>
          <w:bCs/>
        </w:rPr>
        <w:t xml:space="preserve">The reserve movements are shown in Table </w:t>
      </w:r>
      <w:r w:rsidR="00E037F5">
        <w:rPr>
          <w:rFonts w:cs="Arial"/>
          <w:bCs/>
        </w:rPr>
        <w:t>7</w:t>
      </w:r>
      <w:r>
        <w:rPr>
          <w:rFonts w:cs="Arial"/>
          <w:bCs/>
        </w:rPr>
        <w:t xml:space="preserve"> </w:t>
      </w:r>
    </w:p>
    <w:p w14:paraId="58969EC9" w14:textId="77777777" w:rsidR="00B83B56" w:rsidRPr="00B83B56" w:rsidRDefault="00B83B56" w:rsidP="00B83B56">
      <w:pPr>
        <w:pStyle w:val="ListParagraph"/>
        <w:rPr>
          <w:rFonts w:cs="Arial"/>
          <w:bCs/>
        </w:rPr>
      </w:pPr>
    </w:p>
    <w:p w14:paraId="25565E30" w14:textId="67C13EC8" w:rsidR="00B83B56" w:rsidRDefault="00B83B56" w:rsidP="00B83B56">
      <w:pPr>
        <w:jc w:val="both"/>
        <w:rPr>
          <w:rFonts w:cs="Arial"/>
          <w:b/>
          <w:bCs/>
          <w:szCs w:val="24"/>
          <w:u w:val="single"/>
        </w:rPr>
      </w:pPr>
      <w:r>
        <w:rPr>
          <w:rFonts w:cs="Arial"/>
          <w:b/>
          <w:bCs/>
          <w:szCs w:val="24"/>
          <w:u w:val="single"/>
        </w:rPr>
        <w:t>T</w:t>
      </w:r>
      <w:r w:rsidRPr="00B83B56">
        <w:rPr>
          <w:rFonts w:cs="Arial"/>
          <w:b/>
          <w:bCs/>
          <w:szCs w:val="24"/>
          <w:u w:val="single"/>
        </w:rPr>
        <w:t xml:space="preserve">able </w:t>
      </w:r>
      <w:r w:rsidR="00E037F5">
        <w:rPr>
          <w:rFonts w:cs="Arial"/>
          <w:b/>
          <w:bCs/>
          <w:szCs w:val="24"/>
          <w:u w:val="single"/>
        </w:rPr>
        <w:t>7</w:t>
      </w:r>
      <w:r w:rsidRPr="00B83B56">
        <w:rPr>
          <w:rFonts w:cs="Arial"/>
          <w:b/>
          <w:bCs/>
          <w:szCs w:val="24"/>
          <w:u w:val="single"/>
        </w:rPr>
        <w:t xml:space="preserve">: </w:t>
      </w:r>
      <w:r>
        <w:rPr>
          <w:rFonts w:cs="Arial"/>
          <w:b/>
          <w:bCs/>
          <w:szCs w:val="24"/>
          <w:u w:val="single"/>
        </w:rPr>
        <w:t>Place</w:t>
      </w:r>
      <w:r w:rsidRPr="00B83B56">
        <w:rPr>
          <w:rFonts w:cs="Arial"/>
          <w:b/>
          <w:bCs/>
          <w:szCs w:val="24"/>
          <w:u w:val="single"/>
        </w:rPr>
        <w:t xml:space="preserve"> Reserve Movements 2022-23</w:t>
      </w:r>
    </w:p>
    <w:p w14:paraId="7D6810C1" w14:textId="77777777" w:rsidR="00B83B56" w:rsidRDefault="00B83B56" w:rsidP="00B83B56">
      <w:pPr>
        <w:jc w:val="both"/>
        <w:rPr>
          <w:rFonts w:cs="Arial"/>
          <w:b/>
          <w:bCs/>
          <w:szCs w:val="24"/>
          <w:u w:val="single"/>
        </w:rPr>
      </w:pPr>
    </w:p>
    <w:tbl>
      <w:tblPr>
        <w:tblStyle w:val="TableGrid"/>
        <w:tblW w:w="0" w:type="auto"/>
        <w:tblLook w:val="04A0" w:firstRow="1" w:lastRow="0" w:firstColumn="1" w:lastColumn="0" w:noHBand="0" w:noVBand="1"/>
      </w:tblPr>
      <w:tblGrid>
        <w:gridCol w:w="6786"/>
        <w:gridCol w:w="2233"/>
      </w:tblGrid>
      <w:tr w:rsidR="00B83B56" w:rsidRPr="00B83B56" w14:paraId="09DAB1FD" w14:textId="77777777" w:rsidTr="00E037F5">
        <w:tc>
          <w:tcPr>
            <w:tcW w:w="6786" w:type="dxa"/>
          </w:tcPr>
          <w:p w14:paraId="1C57BA98" w14:textId="77777777" w:rsidR="00B83B56" w:rsidRPr="00B83B56" w:rsidRDefault="00B83B56" w:rsidP="00DC6F9D">
            <w:pPr>
              <w:jc w:val="both"/>
              <w:rPr>
                <w:rFonts w:cs="Arial"/>
                <w:b/>
                <w:bCs/>
                <w:sz w:val="20"/>
              </w:rPr>
            </w:pPr>
            <w:r w:rsidRPr="00B83B56">
              <w:rPr>
                <w:b/>
                <w:bCs/>
                <w:sz w:val="20"/>
              </w:rPr>
              <w:t xml:space="preserve">Description </w:t>
            </w:r>
          </w:p>
        </w:tc>
        <w:tc>
          <w:tcPr>
            <w:tcW w:w="2233" w:type="dxa"/>
          </w:tcPr>
          <w:p w14:paraId="6C9E2412" w14:textId="77777777" w:rsidR="00B83B56" w:rsidRPr="00B83B56" w:rsidRDefault="00B83B56" w:rsidP="00DC6F9D">
            <w:pPr>
              <w:jc w:val="both"/>
              <w:rPr>
                <w:rFonts w:cs="Arial"/>
                <w:bCs/>
                <w:sz w:val="20"/>
              </w:rPr>
            </w:pPr>
            <w:r w:rsidRPr="00B83B56">
              <w:rPr>
                <w:b/>
                <w:bCs/>
                <w:sz w:val="20"/>
              </w:rPr>
              <w:t>Movement £’000</w:t>
            </w:r>
          </w:p>
        </w:tc>
      </w:tr>
      <w:tr w:rsidR="00E037F5" w:rsidRPr="00B83B56" w14:paraId="744B98EC" w14:textId="77777777" w:rsidTr="00213124">
        <w:tc>
          <w:tcPr>
            <w:tcW w:w="6786" w:type="dxa"/>
          </w:tcPr>
          <w:p w14:paraId="25EAFCAC" w14:textId="4D52C398" w:rsidR="00E037F5" w:rsidRPr="00B83B56" w:rsidRDefault="00E037F5" w:rsidP="00DC6F9D">
            <w:pPr>
              <w:jc w:val="both"/>
              <w:rPr>
                <w:rFonts w:cs="Arial"/>
                <w:bCs/>
                <w:sz w:val="20"/>
              </w:rPr>
            </w:pPr>
            <w:r w:rsidRPr="00B83B56">
              <w:rPr>
                <w:sz w:val="20"/>
              </w:rPr>
              <w:t>Capital Feasibilities Reserve</w:t>
            </w:r>
          </w:p>
        </w:tc>
        <w:tc>
          <w:tcPr>
            <w:tcW w:w="2233" w:type="dxa"/>
          </w:tcPr>
          <w:p w14:paraId="42EC0A15" w14:textId="10230EBE" w:rsidR="00E037F5" w:rsidRPr="00B83B56" w:rsidRDefault="00E037F5" w:rsidP="00DC6F9D">
            <w:pPr>
              <w:jc w:val="right"/>
              <w:rPr>
                <w:rFonts w:cs="Arial"/>
                <w:bCs/>
                <w:sz w:val="20"/>
              </w:rPr>
            </w:pPr>
            <w:r w:rsidRPr="00B83B56">
              <w:rPr>
                <w:sz w:val="20"/>
              </w:rPr>
              <w:t>-85</w:t>
            </w:r>
          </w:p>
        </w:tc>
      </w:tr>
      <w:tr w:rsidR="00E037F5" w:rsidRPr="00B83B56" w14:paraId="6FB96BD3" w14:textId="77777777" w:rsidTr="00213124">
        <w:tc>
          <w:tcPr>
            <w:tcW w:w="6786" w:type="dxa"/>
          </w:tcPr>
          <w:p w14:paraId="13369903" w14:textId="1D6EBBFB" w:rsidR="00E037F5" w:rsidRPr="00B83B56" w:rsidRDefault="00930F7A" w:rsidP="00DC6F9D">
            <w:pPr>
              <w:jc w:val="both"/>
              <w:rPr>
                <w:rFonts w:cs="Arial"/>
                <w:bCs/>
                <w:sz w:val="20"/>
              </w:rPr>
            </w:pPr>
            <w:r w:rsidRPr="00B83B56">
              <w:rPr>
                <w:sz w:val="20"/>
              </w:rPr>
              <w:t>Accommodation</w:t>
            </w:r>
            <w:r w:rsidR="00E037F5" w:rsidRPr="00B83B56">
              <w:rPr>
                <w:sz w:val="20"/>
              </w:rPr>
              <w:t xml:space="preserve"> Strategy Reserve</w:t>
            </w:r>
          </w:p>
        </w:tc>
        <w:tc>
          <w:tcPr>
            <w:tcW w:w="2233" w:type="dxa"/>
          </w:tcPr>
          <w:p w14:paraId="3098C48F" w14:textId="65F2043D" w:rsidR="00E037F5" w:rsidRPr="00B83B56" w:rsidRDefault="00E037F5" w:rsidP="00DC6F9D">
            <w:pPr>
              <w:jc w:val="right"/>
              <w:rPr>
                <w:rFonts w:cs="Arial"/>
                <w:bCs/>
                <w:sz w:val="20"/>
              </w:rPr>
            </w:pPr>
            <w:r w:rsidRPr="00B83B56">
              <w:rPr>
                <w:sz w:val="20"/>
              </w:rPr>
              <w:t>-</w:t>
            </w:r>
            <w:r>
              <w:rPr>
                <w:sz w:val="20"/>
              </w:rPr>
              <w:t>6</w:t>
            </w:r>
            <w:r w:rsidRPr="00B83B56">
              <w:rPr>
                <w:sz w:val="20"/>
              </w:rPr>
              <w:t>52</w:t>
            </w:r>
          </w:p>
        </w:tc>
      </w:tr>
      <w:tr w:rsidR="00E037F5" w:rsidRPr="00B83B56" w14:paraId="2E849B3A" w14:textId="77777777" w:rsidTr="00213124">
        <w:tc>
          <w:tcPr>
            <w:tcW w:w="6786" w:type="dxa"/>
          </w:tcPr>
          <w:p w14:paraId="376A819A" w14:textId="22EEF9C4" w:rsidR="00E037F5" w:rsidRPr="00B83B56" w:rsidRDefault="00E037F5" w:rsidP="00DC6F9D">
            <w:pPr>
              <w:jc w:val="both"/>
              <w:rPr>
                <w:rFonts w:cs="Arial"/>
                <w:bCs/>
                <w:sz w:val="20"/>
              </w:rPr>
            </w:pPr>
            <w:r w:rsidRPr="00B83B56">
              <w:rPr>
                <w:sz w:val="20"/>
              </w:rPr>
              <w:t>3G Pitch</w:t>
            </w:r>
          </w:p>
        </w:tc>
        <w:tc>
          <w:tcPr>
            <w:tcW w:w="2233" w:type="dxa"/>
          </w:tcPr>
          <w:p w14:paraId="0BFAC5D8" w14:textId="5B5B26D4" w:rsidR="00E037F5" w:rsidRPr="00B83B56" w:rsidRDefault="00E037F5" w:rsidP="00DC6F9D">
            <w:pPr>
              <w:jc w:val="right"/>
              <w:rPr>
                <w:rFonts w:cs="Arial"/>
                <w:bCs/>
                <w:sz w:val="20"/>
              </w:rPr>
            </w:pPr>
            <w:r w:rsidRPr="00B83B56">
              <w:rPr>
                <w:sz w:val="20"/>
              </w:rPr>
              <w:t>25</w:t>
            </w:r>
          </w:p>
        </w:tc>
      </w:tr>
      <w:tr w:rsidR="00E037F5" w:rsidRPr="00B83B56" w14:paraId="2FD33571" w14:textId="77777777" w:rsidTr="00213124">
        <w:tc>
          <w:tcPr>
            <w:tcW w:w="6786" w:type="dxa"/>
          </w:tcPr>
          <w:p w14:paraId="3043DCE8" w14:textId="7C27C030" w:rsidR="00E037F5" w:rsidRPr="00B83B56" w:rsidRDefault="00E037F5" w:rsidP="00DC6F9D">
            <w:pPr>
              <w:jc w:val="both"/>
              <w:rPr>
                <w:rFonts w:cs="Arial"/>
                <w:bCs/>
                <w:sz w:val="20"/>
              </w:rPr>
            </w:pPr>
            <w:r w:rsidRPr="00B83B56">
              <w:rPr>
                <w:sz w:val="20"/>
              </w:rPr>
              <w:t>1 Hour Free Parking</w:t>
            </w:r>
          </w:p>
        </w:tc>
        <w:tc>
          <w:tcPr>
            <w:tcW w:w="2233" w:type="dxa"/>
          </w:tcPr>
          <w:p w14:paraId="367E8C25" w14:textId="1099942B" w:rsidR="00E037F5" w:rsidRPr="00B83B56" w:rsidRDefault="00E037F5" w:rsidP="00DC6F9D">
            <w:pPr>
              <w:jc w:val="right"/>
              <w:rPr>
                <w:rFonts w:cs="Arial"/>
                <w:bCs/>
                <w:sz w:val="20"/>
              </w:rPr>
            </w:pPr>
            <w:r w:rsidRPr="00B83B56">
              <w:rPr>
                <w:sz w:val="20"/>
              </w:rPr>
              <w:t>-2</w:t>
            </w:r>
            <w:r>
              <w:rPr>
                <w:sz w:val="20"/>
              </w:rPr>
              <w:t>8</w:t>
            </w:r>
            <w:r w:rsidRPr="00B83B56">
              <w:rPr>
                <w:sz w:val="20"/>
              </w:rPr>
              <w:t>4</w:t>
            </w:r>
          </w:p>
        </w:tc>
      </w:tr>
      <w:tr w:rsidR="00E037F5" w:rsidRPr="00B83B56" w14:paraId="758C41F7" w14:textId="77777777" w:rsidTr="00213124">
        <w:tc>
          <w:tcPr>
            <w:tcW w:w="6786" w:type="dxa"/>
          </w:tcPr>
          <w:p w14:paraId="54B60D43" w14:textId="6519B32F" w:rsidR="00E037F5" w:rsidRPr="00B83B56" w:rsidRDefault="00E037F5" w:rsidP="00DC6F9D">
            <w:pPr>
              <w:jc w:val="both"/>
              <w:rPr>
                <w:rFonts w:cs="Arial"/>
                <w:bCs/>
                <w:sz w:val="20"/>
              </w:rPr>
            </w:pPr>
            <w:r w:rsidRPr="00B83B56">
              <w:rPr>
                <w:sz w:val="20"/>
              </w:rPr>
              <w:t>Business Risk Reserve</w:t>
            </w:r>
          </w:p>
        </w:tc>
        <w:tc>
          <w:tcPr>
            <w:tcW w:w="2233" w:type="dxa"/>
          </w:tcPr>
          <w:p w14:paraId="67279BAE" w14:textId="78FAE0D4" w:rsidR="00E037F5" w:rsidRPr="00B83B56" w:rsidRDefault="00E037F5" w:rsidP="00DC6F9D">
            <w:pPr>
              <w:jc w:val="right"/>
              <w:rPr>
                <w:rFonts w:cs="Arial"/>
                <w:bCs/>
                <w:sz w:val="20"/>
              </w:rPr>
            </w:pPr>
            <w:r w:rsidRPr="00B83B56">
              <w:rPr>
                <w:sz w:val="20"/>
              </w:rPr>
              <w:t>-7</w:t>
            </w:r>
            <w:r>
              <w:rPr>
                <w:sz w:val="20"/>
              </w:rPr>
              <w:t>32</w:t>
            </w:r>
          </w:p>
        </w:tc>
      </w:tr>
      <w:tr w:rsidR="00E037F5" w:rsidRPr="00B83B56" w14:paraId="501B2FBE" w14:textId="77777777" w:rsidTr="00213124">
        <w:tc>
          <w:tcPr>
            <w:tcW w:w="6786" w:type="dxa"/>
          </w:tcPr>
          <w:p w14:paraId="20CBA62E" w14:textId="527BF5DD" w:rsidR="00E037F5" w:rsidRPr="00B83B56" w:rsidRDefault="00E037F5" w:rsidP="00DC6F9D">
            <w:pPr>
              <w:jc w:val="both"/>
              <w:rPr>
                <w:rFonts w:cs="Arial"/>
                <w:bCs/>
                <w:sz w:val="20"/>
              </w:rPr>
            </w:pPr>
            <w:r w:rsidRPr="00B83B56">
              <w:rPr>
                <w:sz w:val="20"/>
              </w:rPr>
              <w:t>Capacity Build/ Transformation Reserve</w:t>
            </w:r>
          </w:p>
        </w:tc>
        <w:tc>
          <w:tcPr>
            <w:tcW w:w="2233" w:type="dxa"/>
          </w:tcPr>
          <w:p w14:paraId="3FB2F985" w14:textId="14E1772F" w:rsidR="00E037F5" w:rsidRPr="00B83B56" w:rsidRDefault="00E037F5" w:rsidP="00DC6F9D">
            <w:pPr>
              <w:jc w:val="right"/>
              <w:rPr>
                <w:rFonts w:cs="Arial"/>
                <w:bCs/>
                <w:sz w:val="20"/>
              </w:rPr>
            </w:pPr>
            <w:r w:rsidRPr="00B83B56">
              <w:rPr>
                <w:sz w:val="20"/>
              </w:rPr>
              <w:t>-1</w:t>
            </w:r>
            <w:r>
              <w:rPr>
                <w:sz w:val="20"/>
              </w:rPr>
              <w:t>53</w:t>
            </w:r>
          </w:p>
        </w:tc>
      </w:tr>
      <w:tr w:rsidR="00E037F5" w:rsidRPr="00E037F5" w14:paraId="28189917" w14:textId="77777777" w:rsidTr="00213124">
        <w:tc>
          <w:tcPr>
            <w:tcW w:w="6786" w:type="dxa"/>
          </w:tcPr>
          <w:p w14:paraId="3E03705A" w14:textId="3DDA1183" w:rsidR="00E037F5" w:rsidRPr="00B83B56" w:rsidRDefault="00E037F5" w:rsidP="00DC6F9D">
            <w:pPr>
              <w:jc w:val="both"/>
              <w:rPr>
                <w:rFonts w:cs="Arial"/>
                <w:bCs/>
                <w:sz w:val="20"/>
              </w:rPr>
            </w:pPr>
            <w:r w:rsidRPr="00B83B56">
              <w:rPr>
                <w:b/>
                <w:bCs/>
                <w:sz w:val="20"/>
              </w:rPr>
              <w:t xml:space="preserve">Place </w:t>
            </w:r>
            <w:r>
              <w:rPr>
                <w:b/>
                <w:bCs/>
                <w:sz w:val="20"/>
              </w:rPr>
              <w:t>net draw down</w:t>
            </w:r>
          </w:p>
        </w:tc>
        <w:tc>
          <w:tcPr>
            <w:tcW w:w="2233" w:type="dxa"/>
          </w:tcPr>
          <w:p w14:paraId="24FA0EDA" w14:textId="507E034C" w:rsidR="00E037F5" w:rsidRPr="00E037F5" w:rsidRDefault="00E037F5" w:rsidP="00DC6F9D">
            <w:pPr>
              <w:jc w:val="right"/>
              <w:rPr>
                <w:rFonts w:cs="Arial"/>
                <w:b/>
                <w:sz w:val="20"/>
              </w:rPr>
            </w:pPr>
            <w:r w:rsidRPr="00E037F5">
              <w:rPr>
                <w:rFonts w:cs="Arial"/>
                <w:b/>
                <w:sz w:val="20"/>
              </w:rPr>
              <w:t>-1,881</w:t>
            </w:r>
          </w:p>
        </w:tc>
      </w:tr>
    </w:tbl>
    <w:p w14:paraId="0FADF090" w14:textId="77777777" w:rsidR="00B83B56" w:rsidRPr="00191487" w:rsidRDefault="00B83B56" w:rsidP="00F5674D">
      <w:pPr>
        <w:pStyle w:val="ListParagraph"/>
        <w:ind w:left="567"/>
        <w:jc w:val="both"/>
        <w:rPr>
          <w:rFonts w:cs="Arial"/>
          <w:bCs/>
        </w:rPr>
      </w:pPr>
    </w:p>
    <w:p w14:paraId="7BB2E7F1" w14:textId="42D4E18A" w:rsidR="003D3DFD" w:rsidRDefault="003D3DFD" w:rsidP="00AF06B3">
      <w:pPr>
        <w:pStyle w:val="ListParagraph"/>
        <w:numPr>
          <w:ilvl w:val="0"/>
          <w:numId w:val="4"/>
        </w:numPr>
        <w:ind w:left="567" w:hanging="567"/>
        <w:jc w:val="both"/>
        <w:rPr>
          <w:rFonts w:cs="Arial"/>
          <w:bCs/>
        </w:rPr>
      </w:pPr>
      <w:r>
        <w:rPr>
          <w:rFonts w:cs="Arial"/>
          <w:bCs/>
        </w:rPr>
        <w:t>The net overspend of £4.133m is set out in the following paragraphs</w:t>
      </w:r>
    </w:p>
    <w:p w14:paraId="7BDD3E86" w14:textId="77777777" w:rsidR="003D3DFD" w:rsidRPr="003D3DFD" w:rsidRDefault="003D3DFD" w:rsidP="003D3DFD">
      <w:pPr>
        <w:pStyle w:val="ListParagraph"/>
        <w:ind w:left="567"/>
        <w:jc w:val="both"/>
        <w:rPr>
          <w:rFonts w:cs="Arial"/>
          <w:bCs/>
        </w:rPr>
      </w:pPr>
    </w:p>
    <w:p w14:paraId="04728480" w14:textId="5401CF13" w:rsidR="00960DF8" w:rsidRDefault="00D207F0" w:rsidP="00AF06B3">
      <w:pPr>
        <w:pStyle w:val="ListParagraph"/>
        <w:numPr>
          <w:ilvl w:val="0"/>
          <w:numId w:val="4"/>
        </w:numPr>
        <w:ind w:left="567" w:hanging="567"/>
        <w:jc w:val="both"/>
        <w:rPr>
          <w:rFonts w:cs="Arial"/>
          <w:bCs/>
        </w:rPr>
      </w:pPr>
      <w:r w:rsidRPr="005576B4">
        <w:rPr>
          <w:rFonts w:cs="Arial"/>
          <w:b/>
          <w:szCs w:val="24"/>
        </w:rPr>
        <w:t xml:space="preserve">Directorate Management </w:t>
      </w:r>
      <w:r w:rsidRPr="002F6F40">
        <w:rPr>
          <w:rFonts w:cs="Arial"/>
          <w:bCs/>
          <w:szCs w:val="24"/>
        </w:rPr>
        <w:t xml:space="preserve">– </w:t>
      </w:r>
      <w:r w:rsidRPr="005576B4">
        <w:rPr>
          <w:rFonts w:cs="Arial"/>
          <w:bCs/>
          <w:szCs w:val="24"/>
        </w:rPr>
        <w:t>£</w:t>
      </w:r>
      <w:r w:rsidR="003D3DFD">
        <w:rPr>
          <w:rFonts w:cs="Arial"/>
          <w:bCs/>
          <w:szCs w:val="24"/>
        </w:rPr>
        <w:t>1.370m</w:t>
      </w:r>
      <w:r w:rsidRPr="005576B4">
        <w:rPr>
          <w:rFonts w:cs="Arial"/>
          <w:bCs/>
          <w:szCs w:val="24"/>
        </w:rPr>
        <w:t xml:space="preserve"> net overspend</w:t>
      </w:r>
      <w:r w:rsidR="005576B4" w:rsidRPr="005576B4">
        <w:rPr>
          <w:rFonts w:cs="Arial"/>
          <w:bCs/>
          <w:szCs w:val="24"/>
        </w:rPr>
        <w:t xml:space="preserve">. </w:t>
      </w:r>
      <w:r w:rsidRPr="005576B4">
        <w:rPr>
          <w:rFonts w:cs="Arial"/>
          <w:bCs/>
        </w:rPr>
        <w:t>COVID-19 is expected to continue to result in losses in income in 2022-23. As part of the 2022-23 MTFS process, budget growth of £2.482m is included in the budget to recognise the impact on income achievement. The growth is held in Directorate Management. The total forecast loss of income is £</w:t>
      </w:r>
      <w:r w:rsidR="003D3DFD">
        <w:rPr>
          <w:rFonts w:cs="Arial"/>
          <w:bCs/>
        </w:rPr>
        <w:t>3.852</w:t>
      </w:r>
      <w:r w:rsidRPr="005576B4">
        <w:rPr>
          <w:rFonts w:cs="Arial"/>
          <w:bCs/>
        </w:rPr>
        <w:t>m resulting in a pressure of £</w:t>
      </w:r>
      <w:r w:rsidR="003D3DFD">
        <w:rPr>
          <w:rFonts w:cs="Arial"/>
          <w:bCs/>
        </w:rPr>
        <w:t>1.370m</w:t>
      </w:r>
      <w:r w:rsidRPr="005576B4">
        <w:rPr>
          <w:rFonts w:cs="Arial"/>
          <w:bCs/>
        </w:rPr>
        <w:t>. This will be mitigated by a forecast overachievement of income in Trade Waste (£100k) and Network Management (£2</w:t>
      </w:r>
      <w:r w:rsidR="003D3DFD">
        <w:rPr>
          <w:rFonts w:cs="Arial"/>
          <w:bCs/>
        </w:rPr>
        <w:t>56</w:t>
      </w:r>
      <w:r w:rsidRPr="005576B4">
        <w:rPr>
          <w:rFonts w:cs="Arial"/>
          <w:bCs/>
        </w:rPr>
        <w:t>k) reported elsewhere within this report.</w:t>
      </w:r>
    </w:p>
    <w:p w14:paraId="5D479713" w14:textId="77777777" w:rsidR="005576B4" w:rsidRPr="005576B4" w:rsidRDefault="005576B4" w:rsidP="005576B4">
      <w:pPr>
        <w:pStyle w:val="ListParagraph"/>
        <w:ind w:left="567"/>
        <w:jc w:val="both"/>
        <w:rPr>
          <w:rFonts w:cs="Arial"/>
          <w:bCs/>
        </w:rPr>
      </w:pPr>
    </w:p>
    <w:p w14:paraId="742FC454" w14:textId="16DB0CC2" w:rsidR="005576B4" w:rsidRPr="005576B4" w:rsidRDefault="005576B4" w:rsidP="00AF06B3">
      <w:pPr>
        <w:pStyle w:val="ListParagraph"/>
        <w:numPr>
          <w:ilvl w:val="0"/>
          <w:numId w:val="4"/>
        </w:numPr>
        <w:ind w:left="567" w:hanging="567"/>
        <w:jc w:val="both"/>
        <w:rPr>
          <w:rFonts w:cs="Arial"/>
          <w:bCs/>
        </w:rPr>
      </w:pPr>
      <w:r>
        <w:rPr>
          <w:rFonts w:cs="Arial"/>
          <w:b/>
          <w:szCs w:val="24"/>
        </w:rPr>
        <w:t>Environment</w:t>
      </w:r>
      <w:r>
        <w:rPr>
          <w:rFonts w:cs="Arial"/>
          <w:bCs/>
          <w:szCs w:val="24"/>
        </w:rPr>
        <w:t xml:space="preserve"> - £</w:t>
      </w:r>
      <w:r w:rsidR="003D3DFD">
        <w:rPr>
          <w:rFonts w:cs="Arial"/>
          <w:bCs/>
          <w:szCs w:val="24"/>
        </w:rPr>
        <w:t>88</w:t>
      </w:r>
      <w:r>
        <w:rPr>
          <w:rFonts w:cs="Arial"/>
          <w:bCs/>
          <w:szCs w:val="24"/>
        </w:rPr>
        <w:t>k net overspend. This is made up as follows:</w:t>
      </w:r>
    </w:p>
    <w:p w14:paraId="7729C923" w14:textId="77777777" w:rsidR="00BE0099" w:rsidRPr="00BE0099" w:rsidRDefault="00BE0099" w:rsidP="00BE0099">
      <w:pPr>
        <w:pStyle w:val="ListParagraph"/>
        <w:ind w:left="1418"/>
        <w:jc w:val="both"/>
        <w:rPr>
          <w:rFonts w:cs="Arial"/>
          <w:bCs/>
        </w:rPr>
      </w:pPr>
    </w:p>
    <w:p w14:paraId="527DC92E" w14:textId="52EED439" w:rsidR="008D57F5" w:rsidRPr="008D57F5" w:rsidRDefault="008D57F5" w:rsidP="00AF06B3">
      <w:pPr>
        <w:pStyle w:val="ListParagraph"/>
        <w:numPr>
          <w:ilvl w:val="1"/>
          <w:numId w:val="4"/>
        </w:numPr>
        <w:ind w:left="1418" w:hanging="567"/>
        <w:jc w:val="both"/>
        <w:rPr>
          <w:rFonts w:cs="Arial"/>
          <w:bCs/>
        </w:rPr>
      </w:pPr>
      <w:r>
        <w:rPr>
          <w:rFonts w:cs="Arial"/>
          <w:b/>
        </w:rPr>
        <w:t>Fuel &amp; Energy</w:t>
      </w:r>
      <w:r>
        <w:rPr>
          <w:rFonts w:cs="Arial"/>
          <w:bCs/>
        </w:rPr>
        <w:t xml:space="preserve"> - £1.5</w:t>
      </w:r>
      <w:r w:rsidR="003D3DFD">
        <w:rPr>
          <w:rFonts w:cs="Arial"/>
          <w:bCs/>
        </w:rPr>
        <w:t>20</w:t>
      </w:r>
      <w:r>
        <w:rPr>
          <w:rFonts w:cs="Arial"/>
          <w:bCs/>
        </w:rPr>
        <w:t>m net overspend</w:t>
      </w:r>
    </w:p>
    <w:p w14:paraId="062CE0A4" w14:textId="77777777" w:rsidR="00BE0099" w:rsidRPr="00BE0099" w:rsidRDefault="00BE0099" w:rsidP="00BE0099">
      <w:pPr>
        <w:pStyle w:val="ListParagraph"/>
        <w:ind w:left="1418"/>
        <w:jc w:val="both"/>
        <w:rPr>
          <w:rFonts w:cs="Arial"/>
          <w:bCs/>
        </w:rPr>
      </w:pPr>
    </w:p>
    <w:p w14:paraId="0EE9DF92" w14:textId="18B00558" w:rsidR="005576B4" w:rsidRDefault="005576B4" w:rsidP="00AF06B3">
      <w:pPr>
        <w:pStyle w:val="ListParagraph"/>
        <w:numPr>
          <w:ilvl w:val="1"/>
          <w:numId w:val="4"/>
        </w:numPr>
        <w:ind w:left="1418" w:hanging="567"/>
        <w:jc w:val="both"/>
        <w:rPr>
          <w:rFonts w:cs="Arial"/>
          <w:bCs/>
        </w:rPr>
      </w:pPr>
      <w:r>
        <w:rPr>
          <w:rFonts w:cs="Arial"/>
          <w:b/>
          <w:szCs w:val="24"/>
        </w:rPr>
        <w:t xml:space="preserve">Strategy, Development &amp; Performance </w:t>
      </w:r>
      <w:r w:rsidRPr="005576B4">
        <w:rPr>
          <w:rFonts w:cs="Arial"/>
          <w:bCs/>
        </w:rPr>
        <w:t>-</w:t>
      </w:r>
      <w:r>
        <w:rPr>
          <w:rFonts w:cs="Arial"/>
          <w:bCs/>
        </w:rPr>
        <w:t xml:space="preserve"> </w:t>
      </w:r>
      <w:r w:rsidR="008D57F5">
        <w:rPr>
          <w:rFonts w:cs="Arial"/>
          <w:bCs/>
        </w:rPr>
        <w:t>£</w:t>
      </w:r>
      <w:r w:rsidR="003D3DFD">
        <w:rPr>
          <w:rFonts w:cs="Arial"/>
          <w:bCs/>
        </w:rPr>
        <w:t>54</w:t>
      </w:r>
      <w:r w:rsidR="008D57F5">
        <w:rPr>
          <w:rFonts w:cs="Arial"/>
          <w:bCs/>
        </w:rPr>
        <w:t xml:space="preserve">k net underspend due to £100k overachievement of Trade Waste income partially offset by overspends on the Public Mortuary SLA </w:t>
      </w:r>
      <w:r w:rsidR="003D3DFD">
        <w:rPr>
          <w:rFonts w:cs="Arial"/>
          <w:bCs/>
        </w:rPr>
        <w:t>£40</w:t>
      </w:r>
      <w:r w:rsidR="008D57F5">
        <w:rPr>
          <w:rFonts w:cs="Arial"/>
          <w:bCs/>
        </w:rPr>
        <w:t xml:space="preserve">k and </w:t>
      </w:r>
      <w:r w:rsidR="003D3DFD">
        <w:rPr>
          <w:rFonts w:cs="Arial"/>
          <w:bCs/>
        </w:rPr>
        <w:t>service overheads £6k</w:t>
      </w:r>
    </w:p>
    <w:p w14:paraId="3AB09591" w14:textId="77777777" w:rsidR="003D3DFD" w:rsidRDefault="003D3DFD" w:rsidP="003D3DFD">
      <w:pPr>
        <w:pStyle w:val="ListParagraph"/>
        <w:ind w:left="1418"/>
        <w:jc w:val="both"/>
        <w:rPr>
          <w:rFonts w:cs="Arial"/>
          <w:bCs/>
        </w:rPr>
      </w:pPr>
    </w:p>
    <w:p w14:paraId="04AF43C2" w14:textId="00090543" w:rsidR="008D57F5" w:rsidRDefault="008D57F5" w:rsidP="00AF06B3">
      <w:pPr>
        <w:pStyle w:val="ListParagraph"/>
        <w:numPr>
          <w:ilvl w:val="1"/>
          <w:numId w:val="4"/>
        </w:numPr>
        <w:ind w:left="1418" w:hanging="567"/>
        <w:jc w:val="both"/>
        <w:rPr>
          <w:rFonts w:cs="Arial"/>
          <w:bCs/>
        </w:rPr>
      </w:pPr>
      <w:r w:rsidRPr="008D57F5">
        <w:rPr>
          <w:rFonts w:cs="Arial"/>
          <w:b/>
        </w:rPr>
        <w:t>Transport &amp; Environmental Operations</w:t>
      </w:r>
      <w:r>
        <w:rPr>
          <w:rFonts w:cs="Arial"/>
          <w:bCs/>
        </w:rPr>
        <w:t xml:space="preserve"> - £</w:t>
      </w:r>
      <w:r w:rsidR="003D3DFD">
        <w:rPr>
          <w:rFonts w:cs="Arial"/>
          <w:bCs/>
        </w:rPr>
        <w:t>979</w:t>
      </w:r>
      <w:r>
        <w:rPr>
          <w:rFonts w:cs="Arial"/>
          <w:bCs/>
        </w:rPr>
        <w:t>k net underspend</w:t>
      </w:r>
      <w:r w:rsidR="003D3DFD">
        <w:rPr>
          <w:rFonts w:cs="Arial"/>
          <w:bCs/>
        </w:rPr>
        <w:t xml:space="preserve"> mainly due to </w:t>
      </w:r>
      <w:r>
        <w:rPr>
          <w:rFonts w:cs="Arial"/>
          <w:bCs/>
        </w:rPr>
        <w:t xml:space="preserve">underspend of </w:t>
      </w:r>
      <w:r w:rsidR="003D3DFD">
        <w:rPr>
          <w:rFonts w:cs="Arial"/>
          <w:bCs/>
        </w:rPr>
        <w:t>£1m</w:t>
      </w:r>
      <w:r>
        <w:rPr>
          <w:rFonts w:cs="Arial"/>
          <w:bCs/>
        </w:rPr>
        <w:t xml:space="preserve"> in Waste Management due to favourable market conditions which has resulted in the projected </w:t>
      </w:r>
      <w:r>
        <w:rPr>
          <w:rFonts w:cs="Arial"/>
          <w:bCs/>
        </w:rPr>
        <w:lastRenderedPageBreak/>
        <w:t>disposal cost for dry recyclables to be lower than budgeted for. As the market is very volatile and the gate fee can fluctuate up or down, this will be monitored closely</w:t>
      </w:r>
      <w:r w:rsidR="003D3DFD">
        <w:rPr>
          <w:rFonts w:cs="Arial"/>
          <w:bCs/>
        </w:rPr>
        <w:t xml:space="preserve"> throughout the year. This is partially offset by a forecast overspend of £21k on transport vehicle related expenditure including repairs and maintenance.</w:t>
      </w:r>
    </w:p>
    <w:p w14:paraId="18725046" w14:textId="77777777" w:rsidR="00BE0099" w:rsidRPr="00BE0099" w:rsidRDefault="00BE0099" w:rsidP="00BE0099">
      <w:pPr>
        <w:pStyle w:val="ListParagraph"/>
        <w:ind w:left="1418"/>
        <w:jc w:val="both"/>
        <w:rPr>
          <w:rFonts w:cs="Arial"/>
          <w:bCs/>
        </w:rPr>
      </w:pPr>
    </w:p>
    <w:p w14:paraId="390F055C" w14:textId="656A88E0" w:rsidR="008D57F5" w:rsidRDefault="008D57F5" w:rsidP="00AF06B3">
      <w:pPr>
        <w:pStyle w:val="ListParagraph"/>
        <w:numPr>
          <w:ilvl w:val="1"/>
          <w:numId w:val="4"/>
        </w:numPr>
        <w:ind w:left="1418" w:hanging="567"/>
        <w:jc w:val="both"/>
        <w:rPr>
          <w:rFonts w:cs="Arial"/>
          <w:bCs/>
        </w:rPr>
      </w:pPr>
      <w:r>
        <w:rPr>
          <w:rFonts w:cs="Arial"/>
          <w:b/>
        </w:rPr>
        <w:t>Parking Enforcement &amp; Network Management</w:t>
      </w:r>
      <w:r w:rsidR="00DC7010">
        <w:rPr>
          <w:rFonts w:cs="Arial"/>
          <w:bCs/>
        </w:rPr>
        <w:t xml:space="preserve"> - £</w:t>
      </w:r>
      <w:r w:rsidR="003D3DFD">
        <w:rPr>
          <w:rFonts w:cs="Arial"/>
          <w:bCs/>
        </w:rPr>
        <w:t>386</w:t>
      </w:r>
      <w:r w:rsidR="00DC7010">
        <w:rPr>
          <w:rFonts w:cs="Arial"/>
          <w:bCs/>
        </w:rPr>
        <w:t>k net under</w:t>
      </w:r>
      <w:r w:rsidR="00751C64">
        <w:rPr>
          <w:rFonts w:cs="Arial"/>
          <w:bCs/>
        </w:rPr>
        <w:t>s</w:t>
      </w:r>
      <w:r w:rsidR="00DC7010">
        <w:rPr>
          <w:rFonts w:cs="Arial"/>
          <w:bCs/>
        </w:rPr>
        <w:t>pend. This is due to forecast overachievement of £2</w:t>
      </w:r>
      <w:r w:rsidR="003D3DFD">
        <w:rPr>
          <w:rFonts w:cs="Arial"/>
          <w:bCs/>
        </w:rPr>
        <w:t>56</w:t>
      </w:r>
      <w:r w:rsidR="00DC7010">
        <w:rPr>
          <w:rFonts w:cs="Arial"/>
          <w:bCs/>
        </w:rPr>
        <w:t>k in Network Management driven by increased street works activity and an underspe</w:t>
      </w:r>
      <w:r w:rsidR="00751C64">
        <w:rPr>
          <w:rFonts w:cs="Arial"/>
          <w:bCs/>
        </w:rPr>
        <w:t>n</w:t>
      </w:r>
      <w:r w:rsidR="00DC7010">
        <w:rPr>
          <w:rFonts w:cs="Arial"/>
          <w:bCs/>
        </w:rPr>
        <w:t>d of £1</w:t>
      </w:r>
      <w:r w:rsidR="003D3DFD">
        <w:rPr>
          <w:rFonts w:cs="Arial"/>
          <w:bCs/>
        </w:rPr>
        <w:t>30</w:t>
      </w:r>
      <w:r w:rsidR="00DC7010">
        <w:rPr>
          <w:rFonts w:cs="Arial"/>
          <w:bCs/>
        </w:rPr>
        <w:t>k on staffing costs in Parking Services due to vacant posts.</w:t>
      </w:r>
      <w:r w:rsidR="003D3DFD">
        <w:rPr>
          <w:rFonts w:cs="Arial"/>
          <w:bCs/>
        </w:rPr>
        <w:t xml:space="preserve"> As a result of increase efficiency within the current team, there are currently no plans to fill these vacancies.</w:t>
      </w:r>
    </w:p>
    <w:p w14:paraId="228F60BA" w14:textId="77777777" w:rsidR="00A30DD9" w:rsidRPr="00A30DD9" w:rsidRDefault="00A30DD9" w:rsidP="00A30DD9">
      <w:pPr>
        <w:pStyle w:val="ListParagraph"/>
        <w:rPr>
          <w:rFonts w:cs="Arial"/>
          <w:bCs/>
        </w:rPr>
      </w:pPr>
    </w:p>
    <w:p w14:paraId="4311F276" w14:textId="72262EAF" w:rsidR="00A30DD9" w:rsidRDefault="00A30DD9" w:rsidP="00AF06B3">
      <w:pPr>
        <w:pStyle w:val="ListParagraph"/>
        <w:numPr>
          <w:ilvl w:val="1"/>
          <w:numId w:val="4"/>
        </w:numPr>
        <w:ind w:left="1418" w:hanging="567"/>
        <w:jc w:val="both"/>
        <w:rPr>
          <w:rFonts w:cs="Arial"/>
          <w:bCs/>
        </w:rPr>
      </w:pPr>
      <w:r>
        <w:rPr>
          <w:rFonts w:cs="Arial"/>
          <w:b/>
        </w:rPr>
        <w:t xml:space="preserve">Licensing &amp; </w:t>
      </w:r>
      <w:r w:rsidR="00930F7A">
        <w:rPr>
          <w:rFonts w:cs="Arial"/>
          <w:b/>
        </w:rPr>
        <w:t>Enforcement</w:t>
      </w:r>
      <w:r>
        <w:rPr>
          <w:rFonts w:cs="Arial"/>
          <w:bCs/>
        </w:rPr>
        <w:t xml:space="preserve"> - £30k underspend </w:t>
      </w:r>
      <w:r w:rsidR="00930F7A">
        <w:rPr>
          <w:rFonts w:cs="Arial"/>
          <w:bCs/>
        </w:rPr>
        <w:t>mainly</w:t>
      </w:r>
      <w:r>
        <w:rPr>
          <w:rFonts w:cs="Arial"/>
          <w:bCs/>
        </w:rPr>
        <w:t xml:space="preserve"> due to £100k underspend on </w:t>
      </w:r>
      <w:r w:rsidR="00930F7A">
        <w:rPr>
          <w:rFonts w:cs="Arial"/>
          <w:bCs/>
        </w:rPr>
        <w:t>staffing</w:t>
      </w:r>
      <w:r>
        <w:rPr>
          <w:rFonts w:cs="Arial"/>
          <w:bCs/>
        </w:rPr>
        <w:t xml:space="preserve"> costs due to vacant posts across the service. This has been partially offset by £39k pressure relating to </w:t>
      </w:r>
      <w:r w:rsidR="00930F7A">
        <w:rPr>
          <w:rFonts w:cs="Arial"/>
          <w:bCs/>
        </w:rPr>
        <w:t>historical</w:t>
      </w:r>
      <w:r>
        <w:rPr>
          <w:rFonts w:cs="Arial"/>
          <w:bCs/>
        </w:rPr>
        <w:t xml:space="preserve"> secondment payments and £31k in service overheads.</w:t>
      </w:r>
    </w:p>
    <w:p w14:paraId="30424E62" w14:textId="77777777" w:rsidR="00A30DD9" w:rsidRPr="00A30DD9" w:rsidRDefault="00A30DD9" w:rsidP="00A30DD9">
      <w:pPr>
        <w:pStyle w:val="ListParagraph"/>
        <w:rPr>
          <w:rFonts w:cs="Arial"/>
          <w:bCs/>
        </w:rPr>
      </w:pPr>
    </w:p>
    <w:p w14:paraId="7D6895A8" w14:textId="46CEE332" w:rsidR="00A30DD9" w:rsidRPr="005576B4" w:rsidRDefault="00A30DD9" w:rsidP="00AF06B3">
      <w:pPr>
        <w:pStyle w:val="ListParagraph"/>
        <w:numPr>
          <w:ilvl w:val="1"/>
          <w:numId w:val="4"/>
        </w:numPr>
        <w:ind w:left="1418" w:hanging="567"/>
        <w:jc w:val="both"/>
        <w:rPr>
          <w:rFonts w:cs="Arial"/>
          <w:bCs/>
        </w:rPr>
      </w:pPr>
      <w:r>
        <w:rPr>
          <w:rFonts w:cs="Arial"/>
          <w:b/>
        </w:rPr>
        <w:t>Divisional Director</w:t>
      </w:r>
      <w:r>
        <w:rPr>
          <w:rFonts w:cs="Arial"/>
          <w:bCs/>
        </w:rPr>
        <w:t xml:space="preserve"> - £17k overspend on employee costs due to interim staffing arrangements.</w:t>
      </w:r>
    </w:p>
    <w:p w14:paraId="1BABD4EC" w14:textId="705C5880" w:rsidR="00D207F0" w:rsidRDefault="00D207F0" w:rsidP="00DC7010">
      <w:pPr>
        <w:ind w:right="-1"/>
        <w:rPr>
          <w:rFonts w:cs="Arial"/>
          <w:b/>
        </w:rPr>
      </w:pPr>
    </w:p>
    <w:p w14:paraId="0625D6B6" w14:textId="64205DCE" w:rsidR="00DC7010" w:rsidRDefault="00DC7010" w:rsidP="00AF06B3">
      <w:pPr>
        <w:pStyle w:val="ListParagraph"/>
        <w:numPr>
          <w:ilvl w:val="0"/>
          <w:numId w:val="4"/>
        </w:numPr>
        <w:ind w:left="567" w:hanging="567"/>
        <w:jc w:val="both"/>
        <w:rPr>
          <w:rFonts w:cs="Arial"/>
          <w:bCs/>
        </w:rPr>
      </w:pPr>
      <w:r w:rsidRPr="00DC7010">
        <w:rPr>
          <w:rFonts w:cs="Arial"/>
          <w:b/>
        </w:rPr>
        <w:t>Inclusive Economy, Leisure and Culture</w:t>
      </w:r>
      <w:r>
        <w:rPr>
          <w:rFonts w:cs="Arial"/>
          <w:bCs/>
        </w:rPr>
        <w:t xml:space="preserve"> - £</w:t>
      </w:r>
      <w:r w:rsidR="00A30DD9">
        <w:rPr>
          <w:rFonts w:cs="Arial"/>
          <w:bCs/>
        </w:rPr>
        <w:t>94</w:t>
      </w:r>
      <w:r>
        <w:rPr>
          <w:rFonts w:cs="Arial"/>
          <w:bCs/>
        </w:rPr>
        <w:t>k net overspend.</w:t>
      </w:r>
      <w:r w:rsidR="00751C64">
        <w:rPr>
          <w:rFonts w:cs="Arial"/>
          <w:bCs/>
        </w:rPr>
        <w:t xml:space="preserve"> </w:t>
      </w:r>
      <w:r>
        <w:rPr>
          <w:rFonts w:cs="Arial"/>
          <w:bCs/>
        </w:rPr>
        <w:t>This is due to fuel and energy pressures totalling £</w:t>
      </w:r>
      <w:r w:rsidR="00A30DD9">
        <w:rPr>
          <w:rFonts w:cs="Arial"/>
          <w:bCs/>
        </w:rPr>
        <w:t>65</w:t>
      </w:r>
      <w:r>
        <w:rPr>
          <w:rFonts w:cs="Arial"/>
          <w:bCs/>
        </w:rPr>
        <w:t>k and business rates bills at the Harrow Arts Centre of £1</w:t>
      </w:r>
      <w:r w:rsidR="00A30DD9">
        <w:rPr>
          <w:rFonts w:cs="Arial"/>
          <w:bCs/>
        </w:rPr>
        <w:t>9</w:t>
      </w:r>
      <w:r>
        <w:rPr>
          <w:rFonts w:cs="Arial"/>
          <w:bCs/>
        </w:rPr>
        <w:t>k</w:t>
      </w:r>
      <w:r w:rsidR="00A30DD9">
        <w:rPr>
          <w:rFonts w:cs="Arial"/>
          <w:bCs/>
        </w:rPr>
        <w:t xml:space="preserve"> and Harrow Museum service overheads of £10k</w:t>
      </w:r>
    </w:p>
    <w:p w14:paraId="48BB8A5E" w14:textId="77777777" w:rsidR="00A30DD9" w:rsidRDefault="00A30DD9" w:rsidP="00A30DD9">
      <w:pPr>
        <w:pStyle w:val="ListParagraph"/>
        <w:ind w:left="567"/>
        <w:jc w:val="both"/>
        <w:rPr>
          <w:rFonts w:cs="Arial"/>
          <w:bCs/>
        </w:rPr>
      </w:pPr>
    </w:p>
    <w:p w14:paraId="2916FD21" w14:textId="1FC7540F" w:rsidR="00DC7010" w:rsidRDefault="00DC7010" w:rsidP="00AF06B3">
      <w:pPr>
        <w:pStyle w:val="ListParagraph"/>
        <w:numPr>
          <w:ilvl w:val="0"/>
          <w:numId w:val="4"/>
        </w:numPr>
        <w:ind w:left="567" w:hanging="567"/>
        <w:jc w:val="both"/>
        <w:rPr>
          <w:rFonts w:cs="Arial"/>
          <w:bCs/>
        </w:rPr>
      </w:pPr>
      <w:r w:rsidRPr="00BE0099">
        <w:rPr>
          <w:rFonts w:cs="Arial"/>
          <w:b/>
        </w:rPr>
        <w:t>Regeneration and Sustainable Development</w:t>
      </w:r>
      <w:r>
        <w:rPr>
          <w:rFonts w:cs="Arial"/>
          <w:bCs/>
        </w:rPr>
        <w:t xml:space="preserve"> - £2.</w:t>
      </w:r>
      <w:r w:rsidR="00A30DD9">
        <w:rPr>
          <w:rFonts w:cs="Arial"/>
          <w:bCs/>
        </w:rPr>
        <w:t>821</w:t>
      </w:r>
      <w:r>
        <w:rPr>
          <w:rFonts w:cs="Arial"/>
          <w:bCs/>
        </w:rPr>
        <w:t>m net overspend</w:t>
      </w:r>
    </w:p>
    <w:p w14:paraId="2A9B4C50" w14:textId="77777777" w:rsidR="00BE0099" w:rsidRPr="00BE0099" w:rsidRDefault="00BE0099" w:rsidP="00BE0099">
      <w:pPr>
        <w:pStyle w:val="ListParagraph"/>
        <w:ind w:left="1418"/>
        <w:jc w:val="both"/>
        <w:rPr>
          <w:rFonts w:cs="Arial"/>
          <w:bCs/>
        </w:rPr>
      </w:pPr>
    </w:p>
    <w:p w14:paraId="1F67FC92" w14:textId="1A9F06A9" w:rsidR="00DC7010" w:rsidRDefault="00DC7010" w:rsidP="00AF06B3">
      <w:pPr>
        <w:pStyle w:val="ListParagraph"/>
        <w:numPr>
          <w:ilvl w:val="1"/>
          <w:numId w:val="4"/>
        </w:numPr>
        <w:ind w:left="1418" w:hanging="567"/>
        <w:jc w:val="both"/>
        <w:rPr>
          <w:rFonts w:cs="Arial"/>
          <w:bCs/>
        </w:rPr>
      </w:pPr>
      <w:r w:rsidRPr="00DC7010">
        <w:rPr>
          <w:rFonts w:cs="Arial"/>
          <w:b/>
        </w:rPr>
        <w:t>Fuel &amp; Energy</w:t>
      </w:r>
      <w:r>
        <w:rPr>
          <w:rFonts w:cs="Arial"/>
          <w:bCs/>
        </w:rPr>
        <w:t xml:space="preserve"> - £8</w:t>
      </w:r>
      <w:r w:rsidR="00A30DD9">
        <w:rPr>
          <w:rFonts w:cs="Arial"/>
          <w:bCs/>
        </w:rPr>
        <w:t>79</w:t>
      </w:r>
      <w:r>
        <w:rPr>
          <w:rFonts w:cs="Arial"/>
          <w:bCs/>
        </w:rPr>
        <w:t>k net overspend</w:t>
      </w:r>
    </w:p>
    <w:p w14:paraId="6D860D51" w14:textId="77777777" w:rsidR="00BE0099" w:rsidRPr="00BE0099" w:rsidRDefault="00BE0099" w:rsidP="00BE0099">
      <w:pPr>
        <w:pStyle w:val="ListParagraph"/>
        <w:ind w:left="1418"/>
        <w:jc w:val="both"/>
        <w:rPr>
          <w:rFonts w:cs="Arial"/>
          <w:bCs/>
        </w:rPr>
      </w:pPr>
    </w:p>
    <w:p w14:paraId="50E10579" w14:textId="6B78A59D" w:rsidR="00DC7010" w:rsidRDefault="00DC7010" w:rsidP="00AF06B3">
      <w:pPr>
        <w:pStyle w:val="ListParagraph"/>
        <w:numPr>
          <w:ilvl w:val="1"/>
          <w:numId w:val="4"/>
        </w:numPr>
        <w:ind w:left="1418" w:hanging="567"/>
        <w:jc w:val="both"/>
        <w:rPr>
          <w:rFonts w:cs="Arial"/>
          <w:bCs/>
        </w:rPr>
      </w:pPr>
      <w:r w:rsidRPr="00DC7010">
        <w:rPr>
          <w:rFonts w:cs="Arial"/>
          <w:b/>
        </w:rPr>
        <w:t>Estates &amp; Facilities Management</w:t>
      </w:r>
      <w:r>
        <w:rPr>
          <w:rFonts w:cs="Arial"/>
          <w:bCs/>
        </w:rPr>
        <w:t xml:space="preserve"> </w:t>
      </w:r>
      <w:r w:rsidR="00A30DD9">
        <w:rPr>
          <w:rFonts w:cs="Arial"/>
          <w:bCs/>
        </w:rPr>
        <w:t>–</w:t>
      </w:r>
      <w:r>
        <w:rPr>
          <w:rFonts w:cs="Arial"/>
          <w:bCs/>
        </w:rPr>
        <w:t xml:space="preserve"> </w:t>
      </w:r>
      <w:r w:rsidR="00A30DD9">
        <w:rPr>
          <w:rFonts w:cs="Arial"/>
          <w:bCs/>
        </w:rPr>
        <w:t>£1.313m</w:t>
      </w:r>
      <w:r>
        <w:rPr>
          <w:rFonts w:cs="Arial"/>
          <w:bCs/>
        </w:rPr>
        <w:t xml:space="preserve"> net overspend</w:t>
      </w:r>
    </w:p>
    <w:p w14:paraId="049AA732" w14:textId="0A3D26C7" w:rsidR="00DC7010" w:rsidRDefault="00DC7010" w:rsidP="00AF06B3">
      <w:pPr>
        <w:pStyle w:val="ListParagraph"/>
        <w:numPr>
          <w:ilvl w:val="2"/>
          <w:numId w:val="4"/>
        </w:numPr>
        <w:ind w:left="1701"/>
        <w:jc w:val="both"/>
        <w:rPr>
          <w:rFonts w:cs="Arial"/>
          <w:bCs/>
        </w:rPr>
      </w:pPr>
      <w:r>
        <w:rPr>
          <w:rFonts w:cs="Arial"/>
          <w:bCs/>
        </w:rPr>
        <w:t>Facilities Management - £</w:t>
      </w:r>
      <w:r w:rsidR="00A30DD9">
        <w:rPr>
          <w:rFonts w:cs="Arial"/>
          <w:bCs/>
        </w:rPr>
        <w:t>1.107m</w:t>
      </w:r>
      <w:r>
        <w:rPr>
          <w:rFonts w:cs="Arial"/>
          <w:bCs/>
        </w:rPr>
        <w:t xml:space="preserve"> net overspend due to additional security staff across various council s</w:t>
      </w:r>
      <w:r w:rsidR="005E717F">
        <w:rPr>
          <w:rFonts w:cs="Arial"/>
          <w:bCs/>
        </w:rPr>
        <w:t>i</w:t>
      </w:r>
      <w:r>
        <w:rPr>
          <w:rFonts w:cs="Arial"/>
          <w:bCs/>
        </w:rPr>
        <w:t>t</w:t>
      </w:r>
      <w:r w:rsidR="005E717F">
        <w:rPr>
          <w:rFonts w:cs="Arial"/>
          <w:bCs/>
        </w:rPr>
        <w:t>es</w:t>
      </w:r>
      <w:r w:rsidR="00A30DD9">
        <w:rPr>
          <w:rFonts w:cs="Arial"/>
          <w:bCs/>
        </w:rPr>
        <w:t xml:space="preserve"> pending completion of the security review</w:t>
      </w:r>
      <w:r w:rsidR="005E717F">
        <w:rPr>
          <w:rFonts w:cs="Arial"/>
          <w:bCs/>
        </w:rPr>
        <w:t>,</w:t>
      </w:r>
      <w:r w:rsidR="00A30DD9">
        <w:rPr>
          <w:rFonts w:cs="Arial"/>
          <w:bCs/>
        </w:rPr>
        <w:t xml:space="preserve"> £369k</w:t>
      </w:r>
      <w:r>
        <w:rPr>
          <w:rFonts w:cs="Arial"/>
          <w:bCs/>
        </w:rPr>
        <w:t xml:space="preserve"> corporate cleaning due to the opening of the Harrow Council Hub</w:t>
      </w:r>
      <w:r w:rsidR="005E717F">
        <w:rPr>
          <w:rFonts w:cs="Arial"/>
          <w:bCs/>
        </w:rPr>
        <w:t>,</w:t>
      </w:r>
      <w:r w:rsidR="00A30DD9">
        <w:rPr>
          <w:rFonts w:cs="Arial"/>
          <w:bCs/>
        </w:rPr>
        <w:t xml:space="preserve"> £196k building repairs and maintenance due to residual spend on Covid related works</w:t>
      </w:r>
      <w:r w:rsidR="005E717F">
        <w:rPr>
          <w:rFonts w:cs="Arial"/>
          <w:bCs/>
        </w:rPr>
        <w:t xml:space="preserve">, </w:t>
      </w:r>
      <w:r w:rsidR="00A30DD9">
        <w:rPr>
          <w:rFonts w:cs="Arial"/>
          <w:bCs/>
        </w:rPr>
        <w:t>£260k additional interim staffing arrangements</w:t>
      </w:r>
      <w:r w:rsidR="005E717F">
        <w:rPr>
          <w:rFonts w:cs="Arial"/>
          <w:bCs/>
        </w:rPr>
        <w:t>,</w:t>
      </w:r>
      <w:r w:rsidR="00A30DD9">
        <w:rPr>
          <w:rFonts w:cs="Arial"/>
          <w:bCs/>
        </w:rPr>
        <w:t xml:space="preserve"> £73k and l</w:t>
      </w:r>
      <w:r>
        <w:rPr>
          <w:rFonts w:cs="Arial"/>
          <w:bCs/>
        </w:rPr>
        <w:t>oss of income assumed for room letting bookings at the Civic Centre and rental income from units at the Depot</w:t>
      </w:r>
      <w:r w:rsidR="00A30DD9">
        <w:rPr>
          <w:rFonts w:cs="Arial"/>
          <w:bCs/>
        </w:rPr>
        <w:t xml:space="preserve"> £90k</w:t>
      </w:r>
      <w:r>
        <w:rPr>
          <w:rFonts w:cs="Arial"/>
          <w:bCs/>
        </w:rPr>
        <w:t>.</w:t>
      </w:r>
    </w:p>
    <w:p w14:paraId="2D0C6CB6" w14:textId="0270C5D2" w:rsidR="00DC7010" w:rsidRDefault="00DC7010" w:rsidP="00AF06B3">
      <w:pPr>
        <w:pStyle w:val="ListParagraph"/>
        <w:numPr>
          <w:ilvl w:val="2"/>
          <w:numId w:val="4"/>
        </w:numPr>
        <w:ind w:left="1701"/>
        <w:jc w:val="both"/>
        <w:rPr>
          <w:rFonts w:cs="Arial"/>
          <w:bCs/>
        </w:rPr>
      </w:pPr>
      <w:r>
        <w:rPr>
          <w:rFonts w:cs="Arial"/>
          <w:bCs/>
        </w:rPr>
        <w:t>Corporate Estates – £80k net overspend due to interim staffing arrangements</w:t>
      </w:r>
    </w:p>
    <w:p w14:paraId="3B61BDD0" w14:textId="19182072" w:rsidR="00DC7010" w:rsidRDefault="00DC7010" w:rsidP="00AF06B3">
      <w:pPr>
        <w:pStyle w:val="ListParagraph"/>
        <w:numPr>
          <w:ilvl w:val="2"/>
          <w:numId w:val="4"/>
        </w:numPr>
        <w:ind w:left="1701"/>
        <w:jc w:val="both"/>
        <w:rPr>
          <w:rFonts w:cs="Arial"/>
          <w:bCs/>
        </w:rPr>
      </w:pPr>
      <w:r>
        <w:rPr>
          <w:rFonts w:cs="Arial"/>
          <w:bCs/>
        </w:rPr>
        <w:t>Head of Facilities &amp; Estates - £6</w:t>
      </w:r>
      <w:r w:rsidR="00A30DD9">
        <w:rPr>
          <w:rFonts w:cs="Arial"/>
          <w:bCs/>
        </w:rPr>
        <w:t>5</w:t>
      </w:r>
      <w:r>
        <w:rPr>
          <w:rFonts w:cs="Arial"/>
          <w:bCs/>
        </w:rPr>
        <w:t>k net overspend due to interim staffing arrangements</w:t>
      </w:r>
    </w:p>
    <w:p w14:paraId="005D2C8A" w14:textId="77777777" w:rsidR="00A30DD9" w:rsidRDefault="00DC7010" w:rsidP="00A30DD9">
      <w:pPr>
        <w:pStyle w:val="ListParagraph"/>
        <w:numPr>
          <w:ilvl w:val="2"/>
          <w:numId w:val="4"/>
        </w:numPr>
        <w:ind w:left="1701"/>
        <w:jc w:val="both"/>
        <w:rPr>
          <w:rFonts w:cs="Arial"/>
          <w:bCs/>
        </w:rPr>
      </w:pPr>
      <w:r>
        <w:rPr>
          <w:rFonts w:cs="Arial"/>
          <w:bCs/>
        </w:rPr>
        <w:t xml:space="preserve">Catering </w:t>
      </w:r>
      <w:r w:rsidR="00751C64">
        <w:rPr>
          <w:rFonts w:cs="Arial"/>
          <w:bCs/>
        </w:rPr>
        <w:t>Services</w:t>
      </w:r>
      <w:r>
        <w:rPr>
          <w:rFonts w:cs="Arial"/>
          <w:bCs/>
        </w:rPr>
        <w:t xml:space="preserve"> - £</w:t>
      </w:r>
      <w:r w:rsidR="00A30DD9">
        <w:rPr>
          <w:rFonts w:cs="Arial"/>
          <w:bCs/>
        </w:rPr>
        <w:t>61</w:t>
      </w:r>
      <w:r>
        <w:rPr>
          <w:rFonts w:cs="Arial"/>
          <w:bCs/>
        </w:rPr>
        <w:t xml:space="preserve">k net </w:t>
      </w:r>
      <w:r w:rsidR="00A30DD9">
        <w:rPr>
          <w:rFonts w:cs="Arial"/>
          <w:bCs/>
        </w:rPr>
        <w:t>overspend due to under achievement of income in the Adults catering service.</w:t>
      </w:r>
    </w:p>
    <w:p w14:paraId="504B46FC" w14:textId="77777777" w:rsidR="00A30DD9" w:rsidRDefault="00A30DD9" w:rsidP="00A30DD9">
      <w:pPr>
        <w:pStyle w:val="ListParagraph"/>
        <w:ind w:left="1701"/>
        <w:jc w:val="both"/>
        <w:rPr>
          <w:rFonts w:cs="Arial"/>
          <w:bCs/>
        </w:rPr>
      </w:pPr>
    </w:p>
    <w:p w14:paraId="00D56016" w14:textId="7F3561B9" w:rsidR="00BE0099" w:rsidRPr="00A30DD9" w:rsidRDefault="00BE0099" w:rsidP="00A30DD9">
      <w:pPr>
        <w:pStyle w:val="ListParagraph"/>
        <w:numPr>
          <w:ilvl w:val="0"/>
          <w:numId w:val="27"/>
        </w:numPr>
        <w:ind w:left="1418" w:hanging="567"/>
        <w:jc w:val="both"/>
        <w:rPr>
          <w:rFonts w:cs="Arial"/>
          <w:bCs/>
        </w:rPr>
      </w:pPr>
      <w:r w:rsidRPr="00A30DD9">
        <w:rPr>
          <w:rFonts w:cs="Arial"/>
          <w:b/>
        </w:rPr>
        <w:t>Planning &amp; Development</w:t>
      </w:r>
      <w:r w:rsidRPr="00A30DD9">
        <w:rPr>
          <w:rFonts w:cs="Arial"/>
          <w:bCs/>
        </w:rPr>
        <w:t xml:space="preserve"> - £</w:t>
      </w:r>
      <w:r w:rsidR="00A30DD9">
        <w:rPr>
          <w:rFonts w:cs="Arial"/>
          <w:bCs/>
        </w:rPr>
        <w:t>629</w:t>
      </w:r>
      <w:r w:rsidRPr="00A30DD9">
        <w:rPr>
          <w:rFonts w:cs="Arial"/>
          <w:bCs/>
        </w:rPr>
        <w:t xml:space="preserve">k net overspend due to under achievement of planning application fee income as the number of planning </w:t>
      </w:r>
      <w:r w:rsidR="00751C64" w:rsidRPr="00A30DD9">
        <w:rPr>
          <w:rFonts w:cs="Arial"/>
          <w:bCs/>
        </w:rPr>
        <w:t>applications</w:t>
      </w:r>
      <w:r w:rsidRPr="00A30DD9">
        <w:rPr>
          <w:rFonts w:cs="Arial"/>
          <w:bCs/>
        </w:rPr>
        <w:t xml:space="preserve"> are lower than expected</w:t>
      </w:r>
      <w:r w:rsidR="00B41786">
        <w:rPr>
          <w:rFonts w:cs="Arial"/>
          <w:bCs/>
        </w:rPr>
        <w:t xml:space="preserve"> £500k, legal fees due to </w:t>
      </w:r>
      <w:r w:rsidR="00B41786">
        <w:rPr>
          <w:rFonts w:cs="Arial"/>
          <w:bCs/>
        </w:rPr>
        <w:lastRenderedPageBreak/>
        <w:t>actions being taken in 2 cases £44k, cost related to historical secondment arrangements £38k and increased enforcement costs £47k</w:t>
      </w:r>
    </w:p>
    <w:p w14:paraId="3906679C" w14:textId="77777777" w:rsidR="00BE0099" w:rsidRDefault="00BE0099" w:rsidP="00BE0099">
      <w:pPr>
        <w:pStyle w:val="ListParagraph"/>
        <w:ind w:left="567"/>
        <w:jc w:val="both"/>
        <w:rPr>
          <w:rFonts w:cs="Arial"/>
          <w:bCs/>
        </w:rPr>
      </w:pPr>
    </w:p>
    <w:p w14:paraId="5C946259" w14:textId="1BBDC652" w:rsidR="00BE0099" w:rsidRPr="00A83EA4" w:rsidRDefault="00BE0099" w:rsidP="00AF06B3">
      <w:pPr>
        <w:pStyle w:val="ListParagraph"/>
        <w:numPr>
          <w:ilvl w:val="0"/>
          <w:numId w:val="4"/>
        </w:numPr>
        <w:ind w:left="567" w:hanging="567"/>
        <w:jc w:val="both"/>
        <w:rPr>
          <w:rFonts w:cs="Arial"/>
          <w:bCs/>
        </w:rPr>
      </w:pPr>
      <w:r w:rsidRPr="00BE0099">
        <w:rPr>
          <w:rFonts w:cs="Arial"/>
          <w:b/>
        </w:rPr>
        <w:t>Housing General Fund</w:t>
      </w:r>
      <w:r>
        <w:rPr>
          <w:rFonts w:cs="Arial"/>
          <w:bCs/>
        </w:rPr>
        <w:t xml:space="preserve"> – t</w:t>
      </w:r>
      <w:r w:rsidRPr="00BE0099">
        <w:rPr>
          <w:rFonts w:cstheme="minorHAnsi"/>
          <w:lang w:val="en-US"/>
        </w:rPr>
        <w:t xml:space="preserve">he forecast at </w:t>
      </w:r>
      <w:r>
        <w:rPr>
          <w:rFonts w:cstheme="minorHAnsi"/>
          <w:lang w:val="en-US"/>
        </w:rPr>
        <w:t>Q</w:t>
      </w:r>
      <w:r w:rsidR="00B41786">
        <w:rPr>
          <w:rFonts w:cstheme="minorHAnsi"/>
          <w:lang w:val="en-US"/>
        </w:rPr>
        <w:t>2</w:t>
      </w:r>
      <w:r w:rsidRPr="00BE0099">
        <w:rPr>
          <w:rFonts w:cstheme="minorHAnsi"/>
          <w:lang w:val="en-US"/>
        </w:rPr>
        <w:t xml:space="preserve"> </w:t>
      </w:r>
      <w:r w:rsidR="00B41786">
        <w:rPr>
          <w:rFonts w:cstheme="minorHAnsi"/>
          <w:lang w:val="en-US"/>
        </w:rPr>
        <w:t xml:space="preserve">is an underspend of £240k after fully </w:t>
      </w:r>
      <w:r w:rsidR="00B41786" w:rsidRPr="00A83EA4">
        <w:rPr>
          <w:rFonts w:cstheme="minorHAnsi"/>
          <w:lang w:val="en-US"/>
        </w:rPr>
        <w:t xml:space="preserve">utilizing </w:t>
      </w:r>
      <w:r w:rsidRPr="00A83EA4">
        <w:rPr>
          <w:rFonts w:cstheme="minorHAnsi"/>
          <w:lang w:val="en-US"/>
        </w:rPr>
        <w:t xml:space="preserve">the Homelessness Prevention Grant (HPG) </w:t>
      </w:r>
      <w:r w:rsidR="00B41786" w:rsidRPr="00A83EA4">
        <w:rPr>
          <w:rFonts w:cstheme="minorHAnsi"/>
          <w:lang w:val="en-US"/>
        </w:rPr>
        <w:t xml:space="preserve">of £2.246m and a cross divisional adjustment of £268k. This leaves a balance on the HPG of £5.691m. </w:t>
      </w:r>
    </w:p>
    <w:p w14:paraId="337B7978" w14:textId="02E87344" w:rsidR="00BE0099" w:rsidRPr="00A83EA4" w:rsidRDefault="00BE0099" w:rsidP="00BE0099">
      <w:pPr>
        <w:jc w:val="both"/>
        <w:rPr>
          <w:rFonts w:cs="Arial"/>
          <w:bCs/>
        </w:rPr>
      </w:pPr>
    </w:p>
    <w:p w14:paraId="08EB294E" w14:textId="4647680E" w:rsidR="00957EA1" w:rsidRPr="00A83EA4" w:rsidRDefault="004052E3" w:rsidP="00957EA1">
      <w:pPr>
        <w:ind w:firstLine="460"/>
        <w:jc w:val="both"/>
        <w:rPr>
          <w:rFonts w:cs="Arial"/>
          <w:b/>
          <w:bCs/>
          <w:szCs w:val="24"/>
        </w:rPr>
      </w:pPr>
      <w:r w:rsidRPr="00A83EA4">
        <w:rPr>
          <w:rFonts w:cs="Arial"/>
          <w:b/>
          <w:bCs/>
          <w:szCs w:val="24"/>
        </w:rPr>
        <w:t>Housing Revenue Account</w:t>
      </w:r>
      <w:r w:rsidR="00957EA1" w:rsidRPr="00A83EA4">
        <w:rPr>
          <w:rFonts w:cs="Arial"/>
          <w:b/>
          <w:bCs/>
          <w:szCs w:val="24"/>
        </w:rPr>
        <w:t xml:space="preserve"> (HRA)</w:t>
      </w:r>
    </w:p>
    <w:p w14:paraId="409C4DD5" w14:textId="77777777" w:rsidR="00957EA1" w:rsidRPr="00A83EA4" w:rsidRDefault="00957EA1" w:rsidP="00957EA1">
      <w:pPr>
        <w:pStyle w:val="ListParagraph"/>
        <w:rPr>
          <w:rFonts w:cs="Arial"/>
          <w:bCs/>
          <w:szCs w:val="24"/>
        </w:rPr>
      </w:pPr>
    </w:p>
    <w:p w14:paraId="4762BC92" w14:textId="10EA360B" w:rsidR="00957EA1" w:rsidRPr="00A83EA4" w:rsidRDefault="00957EA1" w:rsidP="00957EA1">
      <w:pPr>
        <w:pStyle w:val="ListParagraph"/>
        <w:numPr>
          <w:ilvl w:val="0"/>
          <w:numId w:val="4"/>
        </w:numPr>
        <w:ind w:left="460" w:hanging="567"/>
        <w:jc w:val="both"/>
      </w:pPr>
      <w:r w:rsidRPr="00A83EA4">
        <w:rPr>
          <w:rFonts w:cs="Arial"/>
          <w:bCs/>
          <w:szCs w:val="24"/>
        </w:rPr>
        <w:t xml:space="preserve">The </w:t>
      </w:r>
      <w:r w:rsidRPr="00A83EA4">
        <w:rPr>
          <w:rFonts w:eastAsia="Calibri" w:cs="Arial"/>
          <w:szCs w:val="24"/>
        </w:rPr>
        <w:t>budget for the HRA  was set at an in-year loss of £241k for 2022-23. As at Q</w:t>
      </w:r>
      <w:r w:rsidR="00B41786" w:rsidRPr="00A83EA4">
        <w:rPr>
          <w:rFonts w:eastAsia="Calibri" w:cs="Arial"/>
          <w:szCs w:val="24"/>
        </w:rPr>
        <w:t>2</w:t>
      </w:r>
      <w:r w:rsidRPr="00A83EA4">
        <w:rPr>
          <w:rFonts w:eastAsia="Calibri" w:cs="Arial"/>
          <w:szCs w:val="24"/>
        </w:rPr>
        <w:t xml:space="preserve"> </w:t>
      </w:r>
      <w:r w:rsidR="00B41786" w:rsidRPr="00A83EA4">
        <w:rPr>
          <w:rFonts w:eastAsia="Calibri" w:cs="Arial"/>
          <w:szCs w:val="24"/>
        </w:rPr>
        <w:t>the forecast loss has increased</w:t>
      </w:r>
      <w:r w:rsidR="009A2DF9" w:rsidRPr="00A83EA4">
        <w:rPr>
          <w:rFonts w:eastAsia="Calibri" w:cs="Arial"/>
          <w:szCs w:val="24"/>
        </w:rPr>
        <w:t xml:space="preserve"> by £865k reported at Q1</w:t>
      </w:r>
      <w:r w:rsidR="00B41786" w:rsidRPr="00A83EA4">
        <w:rPr>
          <w:rFonts w:eastAsia="Calibri" w:cs="Arial"/>
          <w:szCs w:val="24"/>
        </w:rPr>
        <w:t xml:space="preserve"> to £1.406m. </w:t>
      </w:r>
    </w:p>
    <w:p w14:paraId="31E8FEDD" w14:textId="77777777" w:rsidR="00957EA1" w:rsidRPr="00A83EA4" w:rsidRDefault="00957EA1" w:rsidP="00957EA1">
      <w:pPr>
        <w:pStyle w:val="ListParagraph"/>
        <w:ind w:left="460"/>
        <w:jc w:val="both"/>
      </w:pPr>
    </w:p>
    <w:p w14:paraId="0B2B5BB2" w14:textId="79966C63" w:rsidR="009A2DF9" w:rsidRPr="00A83EA4" w:rsidRDefault="009A2DF9" w:rsidP="00957EA1">
      <w:pPr>
        <w:pStyle w:val="ListParagraph"/>
        <w:numPr>
          <w:ilvl w:val="0"/>
          <w:numId w:val="4"/>
        </w:numPr>
        <w:ind w:left="460" w:hanging="567"/>
        <w:jc w:val="both"/>
      </w:pPr>
      <w:r w:rsidRPr="00A83EA4">
        <w:t>Major changes from the Q1 forecast are as follows:</w:t>
      </w:r>
    </w:p>
    <w:p w14:paraId="2EC7ED93" w14:textId="77777777" w:rsidR="009A2DF9" w:rsidRPr="00A83EA4" w:rsidRDefault="009A2DF9" w:rsidP="009A2DF9">
      <w:pPr>
        <w:pStyle w:val="ListParagraph"/>
      </w:pPr>
    </w:p>
    <w:p w14:paraId="1AC91218" w14:textId="499EFBBF" w:rsidR="009A2DF9" w:rsidRPr="00A83EA4" w:rsidRDefault="009A2DF9" w:rsidP="009A2DF9">
      <w:pPr>
        <w:pStyle w:val="ListParagraph"/>
        <w:numPr>
          <w:ilvl w:val="1"/>
          <w:numId w:val="4"/>
        </w:numPr>
        <w:ind w:left="1418" w:hanging="567"/>
        <w:jc w:val="both"/>
      </w:pPr>
      <w:r w:rsidRPr="00A83EA4">
        <w:t>ICT Housing project moving from single phase to two phase project £104k</w:t>
      </w:r>
    </w:p>
    <w:p w14:paraId="732CA29A" w14:textId="584D634F" w:rsidR="009A2DF9" w:rsidRPr="00A83EA4" w:rsidRDefault="009A2DF9" w:rsidP="009A2DF9">
      <w:pPr>
        <w:pStyle w:val="ListParagraph"/>
        <w:numPr>
          <w:ilvl w:val="1"/>
          <w:numId w:val="4"/>
        </w:numPr>
        <w:ind w:left="1418" w:hanging="567"/>
        <w:jc w:val="both"/>
      </w:pPr>
      <w:r w:rsidRPr="00A83EA4">
        <w:t>Increase in repairs forecast £734k</w:t>
      </w:r>
    </w:p>
    <w:p w14:paraId="437F5AA2" w14:textId="442273D0" w:rsidR="009A2DF9" w:rsidRPr="00A83EA4" w:rsidRDefault="009A2DF9" w:rsidP="009A2DF9">
      <w:pPr>
        <w:pStyle w:val="ListParagraph"/>
        <w:numPr>
          <w:ilvl w:val="1"/>
          <w:numId w:val="4"/>
        </w:numPr>
        <w:ind w:left="1418" w:hanging="567"/>
        <w:jc w:val="both"/>
      </w:pPr>
      <w:r w:rsidRPr="00A83EA4">
        <w:t>Reduction in income for service charges and hall hire £172k</w:t>
      </w:r>
    </w:p>
    <w:p w14:paraId="0DF3E018" w14:textId="2789FA8D" w:rsidR="009A2DF9" w:rsidRPr="00A83EA4" w:rsidRDefault="009A2DF9" w:rsidP="009A2DF9">
      <w:pPr>
        <w:jc w:val="both"/>
      </w:pPr>
    </w:p>
    <w:p w14:paraId="0C5331DB" w14:textId="6090DE69" w:rsidR="009A2DF9" w:rsidRPr="00A83EA4" w:rsidRDefault="009A2DF9" w:rsidP="00957EA1">
      <w:pPr>
        <w:pStyle w:val="ListParagraph"/>
        <w:numPr>
          <w:ilvl w:val="0"/>
          <w:numId w:val="4"/>
        </w:numPr>
        <w:ind w:left="460" w:hanging="567"/>
        <w:jc w:val="both"/>
      </w:pPr>
      <w:r w:rsidRPr="00A83EA4">
        <w:t>These are partially offset by a reduction in the employee forecast of £145k due to staff vacancies.</w:t>
      </w:r>
    </w:p>
    <w:p w14:paraId="30B15E9A" w14:textId="77777777" w:rsidR="009A2DF9" w:rsidRPr="00A83EA4" w:rsidRDefault="009A2DF9" w:rsidP="009A2DF9">
      <w:pPr>
        <w:pStyle w:val="ListParagraph"/>
        <w:ind w:left="460"/>
        <w:jc w:val="both"/>
      </w:pPr>
    </w:p>
    <w:p w14:paraId="6B2F9624" w14:textId="1F870879" w:rsidR="009A2DF9" w:rsidRPr="00A83EA4" w:rsidRDefault="009A2DF9" w:rsidP="00957EA1">
      <w:pPr>
        <w:pStyle w:val="ListParagraph"/>
        <w:numPr>
          <w:ilvl w:val="0"/>
          <w:numId w:val="4"/>
        </w:numPr>
        <w:ind w:left="460" w:hanging="567"/>
        <w:jc w:val="both"/>
      </w:pPr>
      <w:r w:rsidRPr="00A83EA4">
        <w:t>The forecast repairs and maintenance position remains the most significant factor in the forecast overspend. These are made up as follows:</w:t>
      </w:r>
    </w:p>
    <w:p w14:paraId="1A5CCB39" w14:textId="77777777" w:rsidR="009A2DF9" w:rsidRPr="00A83EA4" w:rsidRDefault="009A2DF9" w:rsidP="009A2DF9">
      <w:pPr>
        <w:pStyle w:val="ListParagraph"/>
        <w:ind w:left="460"/>
        <w:jc w:val="both"/>
      </w:pPr>
    </w:p>
    <w:p w14:paraId="7CF7BBB1" w14:textId="4C892A82" w:rsidR="009A2DF9" w:rsidRPr="00A83EA4" w:rsidRDefault="009A2DF9" w:rsidP="009A2DF9">
      <w:pPr>
        <w:pStyle w:val="ListParagraph"/>
        <w:numPr>
          <w:ilvl w:val="1"/>
          <w:numId w:val="4"/>
        </w:numPr>
        <w:ind w:left="1418" w:hanging="567"/>
        <w:jc w:val="both"/>
      </w:pPr>
      <w:r w:rsidRPr="00A83EA4">
        <w:t>Fencing work after storm Eunice £150k</w:t>
      </w:r>
    </w:p>
    <w:p w14:paraId="4530A4A1" w14:textId="51F5644F" w:rsidR="009A2DF9" w:rsidRPr="00A83EA4" w:rsidRDefault="009A2DF9" w:rsidP="009A2DF9">
      <w:pPr>
        <w:pStyle w:val="ListParagraph"/>
        <w:numPr>
          <w:ilvl w:val="1"/>
          <w:numId w:val="4"/>
        </w:numPr>
        <w:ind w:left="1418" w:hanging="567"/>
        <w:jc w:val="both"/>
      </w:pPr>
      <w:r w:rsidRPr="00A83EA4">
        <w:t>Health &amp; Safety works for Cornell House during rectification works to address water hygiene issues £60k</w:t>
      </w:r>
    </w:p>
    <w:p w14:paraId="4E1603F0" w14:textId="7708D6C8" w:rsidR="009A2DF9" w:rsidRPr="00A83EA4" w:rsidRDefault="009A2DF9" w:rsidP="009A2DF9">
      <w:pPr>
        <w:pStyle w:val="ListParagraph"/>
        <w:numPr>
          <w:ilvl w:val="1"/>
          <w:numId w:val="4"/>
        </w:numPr>
        <w:ind w:left="1418" w:hanging="567"/>
        <w:jc w:val="both"/>
      </w:pPr>
      <w:r w:rsidRPr="00A83EA4">
        <w:t>Legionella inspections and resulting works to street properties to be H&amp;S compliant £210k</w:t>
      </w:r>
    </w:p>
    <w:p w14:paraId="2924A8A0" w14:textId="3BB27098" w:rsidR="009A2DF9" w:rsidRPr="00A83EA4" w:rsidRDefault="009A2DF9" w:rsidP="009A2DF9">
      <w:pPr>
        <w:pStyle w:val="ListParagraph"/>
        <w:numPr>
          <w:ilvl w:val="1"/>
          <w:numId w:val="4"/>
        </w:numPr>
        <w:ind w:left="1418" w:hanging="567"/>
        <w:jc w:val="both"/>
      </w:pPr>
      <w:r w:rsidRPr="00A83EA4">
        <w:t>Additional interim employee costs to manage increasing demand £295k</w:t>
      </w:r>
    </w:p>
    <w:p w14:paraId="47963B7A" w14:textId="248C5E79" w:rsidR="009A2DF9" w:rsidRPr="00A83EA4" w:rsidRDefault="009A2DF9" w:rsidP="009A2DF9">
      <w:pPr>
        <w:pStyle w:val="ListParagraph"/>
        <w:numPr>
          <w:ilvl w:val="1"/>
          <w:numId w:val="4"/>
        </w:numPr>
        <w:ind w:left="1418" w:hanging="567"/>
        <w:jc w:val="both"/>
      </w:pPr>
      <w:r w:rsidRPr="00A83EA4">
        <w:t>Other variances including disrepair cases £319k.</w:t>
      </w:r>
    </w:p>
    <w:p w14:paraId="65C25EB2" w14:textId="77777777" w:rsidR="009A2DF9" w:rsidRPr="00A83EA4" w:rsidRDefault="009A2DF9" w:rsidP="009A2DF9">
      <w:pPr>
        <w:pStyle w:val="ListParagraph"/>
        <w:ind w:left="460"/>
        <w:jc w:val="both"/>
      </w:pPr>
    </w:p>
    <w:p w14:paraId="33A7A04D" w14:textId="4EF0CBF6" w:rsidR="00957EA1" w:rsidRPr="00A83EA4" w:rsidRDefault="009A2DF9" w:rsidP="00957EA1">
      <w:pPr>
        <w:pStyle w:val="ListParagraph"/>
        <w:numPr>
          <w:ilvl w:val="0"/>
          <w:numId w:val="4"/>
        </w:numPr>
        <w:ind w:left="460" w:hanging="567"/>
        <w:jc w:val="both"/>
      </w:pPr>
      <w:r w:rsidRPr="00A83EA4">
        <w:rPr>
          <w:rFonts w:cs="Arial"/>
          <w:bCs/>
          <w:szCs w:val="24"/>
        </w:rPr>
        <w:t>The above is being partially mitigated by an underspend of £300k on introduction of new PPM programme which is now expected to commence in December 2022.</w:t>
      </w:r>
    </w:p>
    <w:p w14:paraId="40BD6EFB" w14:textId="77777777" w:rsidR="00957EA1" w:rsidRPr="00A83EA4" w:rsidRDefault="00957EA1" w:rsidP="00957EA1">
      <w:pPr>
        <w:pStyle w:val="ListParagraph"/>
        <w:ind w:left="460"/>
        <w:jc w:val="both"/>
      </w:pPr>
    </w:p>
    <w:p w14:paraId="3E577830" w14:textId="210898ED" w:rsidR="00957EA1" w:rsidRPr="00A83EA4" w:rsidRDefault="00A83EA4" w:rsidP="00957EA1">
      <w:pPr>
        <w:pStyle w:val="ListParagraph"/>
        <w:numPr>
          <w:ilvl w:val="0"/>
          <w:numId w:val="4"/>
        </w:numPr>
        <w:ind w:left="460" w:hanging="567"/>
        <w:jc w:val="both"/>
      </w:pPr>
      <w:r w:rsidRPr="00A83EA4">
        <w:rPr>
          <w:rFonts w:cs="Arial"/>
          <w:bCs/>
          <w:szCs w:val="24"/>
        </w:rPr>
        <w:t>The revised forecast deficit of £1.406m would leave general reserves of £3.377m at 31 March 2023 which is still above the minimum required by the business plan ie greater than 7% of income (£2.37m in 2022-23). The reserves are after earmarking £500k towards the development reserve.</w:t>
      </w:r>
    </w:p>
    <w:p w14:paraId="54C20630" w14:textId="197E8907" w:rsidR="00573FF1" w:rsidRDefault="00573FF1" w:rsidP="004052E3">
      <w:pPr>
        <w:ind w:right="-1" w:firstLine="460"/>
        <w:rPr>
          <w:rFonts w:cs="Arial"/>
          <w:b/>
          <w:u w:val="single"/>
        </w:rPr>
      </w:pPr>
    </w:p>
    <w:p w14:paraId="265B956E" w14:textId="2280662B" w:rsidR="00A769AE" w:rsidRDefault="00A769AE" w:rsidP="004052E3">
      <w:pPr>
        <w:ind w:right="-1" w:firstLine="460"/>
        <w:rPr>
          <w:rFonts w:cs="Arial"/>
          <w:b/>
          <w:u w:val="single"/>
        </w:rPr>
      </w:pPr>
    </w:p>
    <w:p w14:paraId="32DC44DB" w14:textId="474A591B" w:rsidR="00A769AE" w:rsidRDefault="00A769AE" w:rsidP="004052E3">
      <w:pPr>
        <w:ind w:right="-1" w:firstLine="460"/>
        <w:rPr>
          <w:rFonts w:cs="Arial"/>
          <w:b/>
          <w:u w:val="single"/>
        </w:rPr>
      </w:pPr>
    </w:p>
    <w:p w14:paraId="0A492898" w14:textId="33A70325" w:rsidR="00A769AE" w:rsidRDefault="00A769AE" w:rsidP="004052E3">
      <w:pPr>
        <w:ind w:right="-1" w:firstLine="460"/>
        <w:rPr>
          <w:rFonts w:cs="Arial"/>
          <w:b/>
          <w:u w:val="single"/>
        </w:rPr>
      </w:pPr>
    </w:p>
    <w:p w14:paraId="29307790" w14:textId="43678FFA" w:rsidR="00A769AE" w:rsidRDefault="00A769AE" w:rsidP="004052E3">
      <w:pPr>
        <w:ind w:right="-1" w:firstLine="460"/>
        <w:rPr>
          <w:rFonts w:cs="Arial"/>
          <w:b/>
          <w:u w:val="single"/>
        </w:rPr>
      </w:pPr>
    </w:p>
    <w:p w14:paraId="770B3A4A" w14:textId="04C82C3C" w:rsidR="00A769AE" w:rsidRDefault="00A769AE" w:rsidP="004052E3">
      <w:pPr>
        <w:ind w:right="-1" w:firstLine="460"/>
        <w:rPr>
          <w:rFonts w:cs="Arial"/>
          <w:b/>
          <w:u w:val="single"/>
        </w:rPr>
      </w:pPr>
    </w:p>
    <w:p w14:paraId="0E55BD50" w14:textId="0A4C4C6E" w:rsidR="00A769AE" w:rsidRDefault="00A769AE" w:rsidP="004052E3">
      <w:pPr>
        <w:ind w:right="-1" w:firstLine="460"/>
        <w:rPr>
          <w:rFonts w:cs="Arial"/>
          <w:b/>
          <w:u w:val="single"/>
        </w:rPr>
      </w:pPr>
    </w:p>
    <w:p w14:paraId="2C1CCB70" w14:textId="77777777" w:rsidR="00A769AE" w:rsidRDefault="00A769AE" w:rsidP="004052E3">
      <w:pPr>
        <w:ind w:right="-1" w:firstLine="460"/>
        <w:rPr>
          <w:rFonts w:cs="Arial"/>
          <w:b/>
          <w:u w:val="single"/>
        </w:rPr>
      </w:pPr>
    </w:p>
    <w:p w14:paraId="763E6DF8" w14:textId="32744BEF" w:rsidR="00F6344A" w:rsidRPr="004052E3" w:rsidRDefault="00F6344A" w:rsidP="004052E3">
      <w:pPr>
        <w:ind w:right="-1" w:firstLine="460"/>
        <w:rPr>
          <w:rFonts w:cs="Arial"/>
          <w:b/>
          <w:u w:val="single"/>
        </w:rPr>
      </w:pPr>
      <w:r w:rsidRPr="004052E3">
        <w:rPr>
          <w:rFonts w:cs="Arial"/>
          <w:b/>
          <w:u w:val="single"/>
        </w:rPr>
        <w:lastRenderedPageBreak/>
        <w:t>PEOPLE SERVICES</w:t>
      </w:r>
    </w:p>
    <w:p w14:paraId="52C5EB08" w14:textId="77777777" w:rsidR="001619BF" w:rsidRDefault="001619BF" w:rsidP="000C14C0">
      <w:pPr>
        <w:rPr>
          <w:b/>
          <w:bCs/>
          <w:szCs w:val="24"/>
          <w:u w:val="single"/>
        </w:rPr>
      </w:pPr>
    </w:p>
    <w:p w14:paraId="022EEAB0" w14:textId="29215B51" w:rsidR="00F6344A" w:rsidRPr="00C761D4" w:rsidRDefault="006A200B" w:rsidP="000C14C0">
      <w:pPr>
        <w:rPr>
          <w:b/>
          <w:bCs/>
          <w:szCs w:val="24"/>
          <w:u w:val="single"/>
        </w:rPr>
      </w:pPr>
      <w:r w:rsidRPr="00C761D4">
        <w:rPr>
          <w:b/>
          <w:bCs/>
          <w:szCs w:val="24"/>
          <w:u w:val="single"/>
        </w:rPr>
        <w:t xml:space="preserve">Table </w:t>
      </w:r>
      <w:r w:rsidR="00B41786">
        <w:rPr>
          <w:b/>
          <w:bCs/>
          <w:szCs w:val="24"/>
          <w:u w:val="single"/>
        </w:rPr>
        <w:t>8</w:t>
      </w:r>
      <w:r w:rsidRPr="00C761D4">
        <w:rPr>
          <w:b/>
          <w:bCs/>
          <w:szCs w:val="24"/>
          <w:u w:val="single"/>
        </w:rPr>
        <w:t xml:space="preserve">: </w:t>
      </w:r>
      <w:r w:rsidR="00F6344A" w:rsidRPr="00C761D4">
        <w:rPr>
          <w:b/>
          <w:bCs/>
          <w:szCs w:val="24"/>
          <w:u w:val="single"/>
        </w:rPr>
        <w:t xml:space="preserve">People Services </w:t>
      </w:r>
      <w:r w:rsidR="00234E3A">
        <w:rPr>
          <w:b/>
          <w:bCs/>
          <w:szCs w:val="24"/>
          <w:u w:val="single"/>
        </w:rPr>
        <w:t>Forecast</w:t>
      </w:r>
      <w:r w:rsidR="00F6344A" w:rsidRPr="00C761D4">
        <w:rPr>
          <w:b/>
          <w:bCs/>
          <w:szCs w:val="24"/>
          <w:u w:val="single"/>
        </w:rPr>
        <w:t xml:space="preserve"> </w:t>
      </w:r>
      <w:r w:rsidR="003065D6" w:rsidRPr="00C761D4">
        <w:rPr>
          <w:b/>
          <w:bCs/>
          <w:szCs w:val="24"/>
          <w:u w:val="single"/>
        </w:rPr>
        <w:t>Outturn</w:t>
      </w:r>
      <w:r w:rsidR="00234E3A">
        <w:rPr>
          <w:b/>
          <w:bCs/>
          <w:szCs w:val="24"/>
          <w:u w:val="single"/>
        </w:rPr>
        <w:t xml:space="preserve"> Q</w:t>
      </w:r>
      <w:r w:rsidR="00B41786">
        <w:rPr>
          <w:b/>
          <w:bCs/>
          <w:szCs w:val="24"/>
          <w:u w:val="single"/>
        </w:rPr>
        <w:t>2</w:t>
      </w:r>
      <w:r w:rsidR="00234E3A">
        <w:rPr>
          <w:b/>
          <w:bCs/>
          <w:szCs w:val="24"/>
          <w:u w:val="single"/>
        </w:rPr>
        <w:t xml:space="preserve"> 2022-23</w:t>
      </w:r>
    </w:p>
    <w:p w14:paraId="2E7E81EB" w14:textId="77777777" w:rsidR="008439CB" w:rsidRPr="00C761D4" w:rsidRDefault="008439CB" w:rsidP="006A200B">
      <w:pPr>
        <w:ind w:firstLine="567"/>
        <w:rPr>
          <w:b/>
          <w:bCs/>
          <w:szCs w:val="24"/>
        </w:rPr>
      </w:pPr>
    </w:p>
    <w:tbl>
      <w:tblPr>
        <w:tblW w:w="1105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47"/>
        <w:gridCol w:w="984"/>
        <w:gridCol w:w="1050"/>
        <w:gridCol w:w="1106"/>
        <w:gridCol w:w="1005"/>
        <w:gridCol w:w="1050"/>
        <w:gridCol w:w="1050"/>
        <w:gridCol w:w="1050"/>
        <w:gridCol w:w="1206"/>
      </w:tblGrid>
      <w:tr w:rsidR="00CA5F6E" w:rsidRPr="00CA5F6E" w14:paraId="4DA2EDBA" w14:textId="336E985C" w:rsidTr="00CA5F6E">
        <w:trPr>
          <w:trHeight w:val="817"/>
        </w:trPr>
        <w:tc>
          <w:tcPr>
            <w:tcW w:w="1106" w:type="dxa"/>
            <w:shd w:val="clear" w:color="auto" w:fill="auto"/>
            <w:vAlign w:val="center"/>
          </w:tcPr>
          <w:p w14:paraId="50743E99" w14:textId="027A7D5E" w:rsidR="00CA5F6E" w:rsidRPr="00CA5F6E" w:rsidRDefault="00CA5F6E" w:rsidP="00CA5F6E">
            <w:pPr>
              <w:jc w:val="center"/>
              <w:rPr>
                <w:rFonts w:cs="Arial"/>
                <w:b/>
                <w:bCs/>
                <w:sz w:val="20"/>
                <w:lang w:eastAsia="en-GB"/>
              </w:rPr>
            </w:pPr>
            <w:r w:rsidRPr="00CA5F6E">
              <w:rPr>
                <w:rFonts w:cs="Arial"/>
                <w:b/>
                <w:bCs/>
                <w:color w:val="000000"/>
                <w:sz w:val="20"/>
              </w:rPr>
              <w:t>Division</w:t>
            </w:r>
          </w:p>
        </w:tc>
        <w:tc>
          <w:tcPr>
            <w:tcW w:w="1447" w:type="dxa"/>
            <w:shd w:val="clear" w:color="auto" w:fill="auto"/>
            <w:vAlign w:val="center"/>
            <w:hideMark/>
          </w:tcPr>
          <w:p w14:paraId="0749278C" w14:textId="790DDC2A" w:rsidR="00CA5F6E" w:rsidRPr="00CA5F6E" w:rsidRDefault="00CA5F6E" w:rsidP="00CA5F6E">
            <w:pPr>
              <w:jc w:val="center"/>
              <w:rPr>
                <w:rFonts w:cs="Arial"/>
                <w:b/>
                <w:bCs/>
                <w:sz w:val="20"/>
                <w:lang w:eastAsia="en-GB"/>
              </w:rPr>
            </w:pPr>
            <w:r w:rsidRPr="00CA5F6E">
              <w:rPr>
                <w:rFonts w:cs="Arial"/>
                <w:b/>
                <w:bCs/>
                <w:color w:val="000000"/>
                <w:sz w:val="20"/>
              </w:rPr>
              <w:t>Service Area</w:t>
            </w:r>
          </w:p>
        </w:tc>
        <w:tc>
          <w:tcPr>
            <w:tcW w:w="984" w:type="dxa"/>
            <w:vAlign w:val="center"/>
          </w:tcPr>
          <w:p w14:paraId="7C086911" w14:textId="4FFB8035" w:rsidR="00CA5F6E" w:rsidRPr="00CA5F6E" w:rsidRDefault="00CA5F6E" w:rsidP="00CA5F6E">
            <w:pPr>
              <w:jc w:val="center"/>
              <w:rPr>
                <w:rFonts w:cs="Arial"/>
                <w:b/>
                <w:bCs/>
                <w:color w:val="000000"/>
                <w:sz w:val="20"/>
              </w:rPr>
            </w:pPr>
            <w:r w:rsidRPr="00CA5F6E">
              <w:rPr>
                <w:rFonts w:cs="Arial"/>
                <w:b/>
                <w:bCs/>
                <w:color w:val="000000"/>
                <w:sz w:val="20"/>
              </w:rPr>
              <w:t>Revised Budget</w:t>
            </w:r>
          </w:p>
        </w:tc>
        <w:tc>
          <w:tcPr>
            <w:tcW w:w="1050" w:type="dxa"/>
            <w:shd w:val="clear" w:color="auto" w:fill="auto"/>
            <w:vAlign w:val="center"/>
            <w:hideMark/>
          </w:tcPr>
          <w:p w14:paraId="1C7ECF26" w14:textId="0213A542" w:rsidR="00CA5F6E" w:rsidRPr="00CA5F6E" w:rsidRDefault="00CA5F6E" w:rsidP="00CA5F6E">
            <w:pPr>
              <w:jc w:val="center"/>
              <w:rPr>
                <w:rFonts w:cs="Arial"/>
                <w:b/>
                <w:bCs/>
                <w:sz w:val="20"/>
                <w:lang w:eastAsia="en-GB"/>
              </w:rPr>
            </w:pPr>
            <w:r w:rsidRPr="00CA5F6E">
              <w:rPr>
                <w:rFonts w:cs="Arial"/>
                <w:b/>
                <w:bCs/>
                <w:color w:val="000000"/>
                <w:sz w:val="20"/>
              </w:rPr>
              <w:t>Forecast</w:t>
            </w:r>
          </w:p>
        </w:tc>
        <w:tc>
          <w:tcPr>
            <w:tcW w:w="1106" w:type="dxa"/>
            <w:shd w:val="clear" w:color="auto" w:fill="auto"/>
            <w:vAlign w:val="center"/>
            <w:hideMark/>
          </w:tcPr>
          <w:p w14:paraId="47DD9B81" w14:textId="076B394E" w:rsidR="00CA5F6E" w:rsidRPr="00CA5F6E" w:rsidRDefault="00CA5F6E" w:rsidP="00CA5F6E">
            <w:pPr>
              <w:jc w:val="center"/>
              <w:rPr>
                <w:rFonts w:cs="Arial"/>
                <w:b/>
                <w:bCs/>
                <w:sz w:val="20"/>
                <w:lang w:eastAsia="en-GB"/>
              </w:rPr>
            </w:pPr>
            <w:r w:rsidRPr="00CA5F6E">
              <w:rPr>
                <w:rFonts w:cs="Arial"/>
                <w:b/>
                <w:bCs/>
                <w:color w:val="000000"/>
                <w:sz w:val="20"/>
              </w:rPr>
              <w:t>To/ (From) Reserves</w:t>
            </w:r>
          </w:p>
        </w:tc>
        <w:tc>
          <w:tcPr>
            <w:tcW w:w="1005" w:type="dxa"/>
            <w:shd w:val="clear" w:color="auto" w:fill="auto"/>
            <w:vAlign w:val="center"/>
          </w:tcPr>
          <w:p w14:paraId="1BA36E45" w14:textId="15748FEF" w:rsidR="00CA5F6E" w:rsidRPr="00CA5F6E" w:rsidRDefault="00CA5F6E" w:rsidP="00CA5F6E">
            <w:pPr>
              <w:jc w:val="center"/>
              <w:rPr>
                <w:rFonts w:cs="Arial"/>
                <w:b/>
                <w:bCs/>
                <w:sz w:val="20"/>
                <w:lang w:eastAsia="en-GB"/>
              </w:rPr>
            </w:pPr>
            <w:r w:rsidRPr="00CA5F6E">
              <w:rPr>
                <w:rFonts w:cs="Arial"/>
                <w:b/>
                <w:bCs/>
                <w:color w:val="000000"/>
                <w:sz w:val="20"/>
              </w:rPr>
              <w:t>One off funding/ Mgt Actions</w:t>
            </w:r>
          </w:p>
        </w:tc>
        <w:tc>
          <w:tcPr>
            <w:tcW w:w="1050" w:type="dxa"/>
            <w:shd w:val="clear" w:color="auto" w:fill="auto"/>
            <w:vAlign w:val="center"/>
          </w:tcPr>
          <w:p w14:paraId="67CA0EB4" w14:textId="49C30FFA" w:rsidR="00CA5F6E" w:rsidRPr="00CA5F6E" w:rsidRDefault="00CA5F6E" w:rsidP="00CA5F6E">
            <w:pPr>
              <w:jc w:val="center"/>
              <w:rPr>
                <w:rFonts w:cs="Arial"/>
                <w:b/>
                <w:bCs/>
                <w:sz w:val="20"/>
                <w:lang w:eastAsia="en-GB"/>
              </w:rPr>
            </w:pPr>
            <w:r w:rsidRPr="00CA5F6E">
              <w:rPr>
                <w:rFonts w:cs="Arial"/>
                <w:b/>
                <w:bCs/>
                <w:color w:val="000000"/>
                <w:sz w:val="20"/>
              </w:rPr>
              <w:t>Revised Forecast</w:t>
            </w:r>
          </w:p>
        </w:tc>
        <w:tc>
          <w:tcPr>
            <w:tcW w:w="1050" w:type="dxa"/>
            <w:shd w:val="clear" w:color="auto" w:fill="auto"/>
            <w:vAlign w:val="center"/>
          </w:tcPr>
          <w:p w14:paraId="16AB71F9" w14:textId="7E617421" w:rsidR="00CA5F6E" w:rsidRPr="00CA5F6E" w:rsidRDefault="00CA5F6E" w:rsidP="00CA5F6E">
            <w:pPr>
              <w:jc w:val="center"/>
              <w:rPr>
                <w:rFonts w:cs="Arial"/>
                <w:b/>
                <w:bCs/>
                <w:sz w:val="20"/>
                <w:lang w:eastAsia="en-GB"/>
              </w:rPr>
            </w:pPr>
            <w:r w:rsidRPr="00CA5F6E">
              <w:rPr>
                <w:rFonts w:cs="Arial"/>
                <w:b/>
                <w:bCs/>
                <w:color w:val="000000"/>
                <w:sz w:val="20"/>
              </w:rPr>
              <w:t>Revised Forecast</w:t>
            </w:r>
          </w:p>
        </w:tc>
        <w:tc>
          <w:tcPr>
            <w:tcW w:w="1050" w:type="dxa"/>
          </w:tcPr>
          <w:p w14:paraId="25E23FF1" w14:textId="3826633A" w:rsidR="00CA5F6E" w:rsidRPr="00CA5F6E" w:rsidRDefault="00CA5F6E" w:rsidP="00CA5F6E">
            <w:pPr>
              <w:jc w:val="center"/>
              <w:rPr>
                <w:rFonts w:cs="Arial"/>
                <w:b/>
                <w:bCs/>
                <w:color w:val="000000"/>
                <w:sz w:val="20"/>
              </w:rPr>
            </w:pPr>
            <w:r w:rsidRPr="00CA5F6E">
              <w:rPr>
                <w:rFonts w:cs="Arial"/>
                <w:b/>
                <w:bCs/>
                <w:color w:val="000000"/>
                <w:sz w:val="20"/>
              </w:rPr>
              <w:t>Q1 Variance</w:t>
            </w:r>
          </w:p>
        </w:tc>
        <w:tc>
          <w:tcPr>
            <w:tcW w:w="1206" w:type="dxa"/>
            <w:shd w:val="clear" w:color="auto" w:fill="auto"/>
            <w:vAlign w:val="center"/>
          </w:tcPr>
          <w:p w14:paraId="34D7C6CE" w14:textId="189CD046" w:rsidR="00CA5F6E" w:rsidRPr="00CA5F6E" w:rsidRDefault="00CA5F6E" w:rsidP="00CA5F6E">
            <w:pPr>
              <w:jc w:val="center"/>
              <w:rPr>
                <w:rFonts w:cs="Arial"/>
                <w:b/>
                <w:bCs/>
                <w:sz w:val="20"/>
                <w:lang w:eastAsia="en-GB"/>
              </w:rPr>
            </w:pPr>
            <w:r w:rsidRPr="00CA5F6E">
              <w:rPr>
                <w:rFonts w:cs="Arial"/>
                <w:b/>
                <w:bCs/>
                <w:sz w:val="20"/>
                <w:lang w:eastAsia="en-GB"/>
              </w:rPr>
              <w:t>Q1 Movement</w:t>
            </w:r>
          </w:p>
        </w:tc>
      </w:tr>
      <w:tr w:rsidR="00CA5F6E" w:rsidRPr="00CA5F6E" w14:paraId="2D13E301" w14:textId="54F2AE51" w:rsidTr="00CA5F6E">
        <w:trPr>
          <w:trHeight w:val="288"/>
        </w:trPr>
        <w:tc>
          <w:tcPr>
            <w:tcW w:w="1106" w:type="dxa"/>
            <w:shd w:val="clear" w:color="auto" w:fill="auto"/>
            <w:vAlign w:val="center"/>
          </w:tcPr>
          <w:p w14:paraId="7E86C658" w14:textId="13475D7D" w:rsidR="00CA5F6E" w:rsidRPr="00CA5F6E" w:rsidRDefault="00CA5F6E" w:rsidP="00CA5F6E">
            <w:pPr>
              <w:jc w:val="center"/>
              <w:rPr>
                <w:rFonts w:cs="Arial"/>
                <w:sz w:val="20"/>
                <w:lang w:eastAsia="en-GB"/>
              </w:rPr>
            </w:pPr>
            <w:r w:rsidRPr="00CA5F6E">
              <w:rPr>
                <w:rFonts w:cs="Arial"/>
                <w:color w:val="000000"/>
                <w:sz w:val="20"/>
              </w:rPr>
              <w:t> </w:t>
            </w:r>
          </w:p>
        </w:tc>
        <w:tc>
          <w:tcPr>
            <w:tcW w:w="1447" w:type="dxa"/>
            <w:shd w:val="clear" w:color="auto" w:fill="auto"/>
            <w:vAlign w:val="center"/>
            <w:hideMark/>
          </w:tcPr>
          <w:p w14:paraId="13740CA4" w14:textId="4B38932A" w:rsidR="00CA5F6E" w:rsidRPr="00CA5F6E" w:rsidRDefault="00CA5F6E" w:rsidP="00CA5F6E">
            <w:pPr>
              <w:jc w:val="center"/>
              <w:rPr>
                <w:rFonts w:cs="Arial"/>
                <w:b/>
                <w:sz w:val="20"/>
                <w:lang w:eastAsia="en-GB"/>
              </w:rPr>
            </w:pPr>
            <w:r w:rsidRPr="00CA5F6E">
              <w:rPr>
                <w:rFonts w:cs="Arial"/>
                <w:color w:val="000000"/>
                <w:sz w:val="20"/>
              </w:rPr>
              <w:t> </w:t>
            </w:r>
          </w:p>
        </w:tc>
        <w:tc>
          <w:tcPr>
            <w:tcW w:w="984" w:type="dxa"/>
          </w:tcPr>
          <w:p w14:paraId="2BD13D32" w14:textId="1B5951E4" w:rsidR="00CA5F6E" w:rsidRPr="00CA5F6E" w:rsidRDefault="00CA5F6E" w:rsidP="00CA5F6E">
            <w:pPr>
              <w:jc w:val="center"/>
              <w:rPr>
                <w:rFonts w:cs="Arial"/>
                <w:b/>
                <w:bCs/>
                <w:color w:val="000000"/>
                <w:sz w:val="20"/>
              </w:rPr>
            </w:pPr>
            <w:r w:rsidRPr="00CA5F6E">
              <w:rPr>
                <w:rFonts w:cs="Arial"/>
                <w:b/>
                <w:bCs/>
                <w:color w:val="000000"/>
                <w:sz w:val="20"/>
              </w:rPr>
              <w:t>£’000</w:t>
            </w:r>
          </w:p>
        </w:tc>
        <w:tc>
          <w:tcPr>
            <w:tcW w:w="1050" w:type="dxa"/>
            <w:shd w:val="clear" w:color="auto" w:fill="auto"/>
            <w:vAlign w:val="center"/>
            <w:hideMark/>
          </w:tcPr>
          <w:p w14:paraId="6615ADFE" w14:textId="69B3A516" w:rsidR="00CA5F6E" w:rsidRPr="00CA5F6E" w:rsidRDefault="00CA5F6E" w:rsidP="00CA5F6E">
            <w:pPr>
              <w:jc w:val="center"/>
              <w:rPr>
                <w:rFonts w:cs="Arial"/>
                <w:b/>
                <w:bCs/>
                <w:sz w:val="20"/>
                <w:lang w:eastAsia="en-GB"/>
              </w:rPr>
            </w:pPr>
            <w:r w:rsidRPr="00CA5F6E">
              <w:rPr>
                <w:rFonts w:cs="Arial"/>
                <w:b/>
                <w:bCs/>
                <w:color w:val="000000"/>
                <w:sz w:val="20"/>
              </w:rPr>
              <w:t>£’000</w:t>
            </w:r>
          </w:p>
        </w:tc>
        <w:tc>
          <w:tcPr>
            <w:tcW w:w="1106" w:type="dxa"/>
            <w:shd w:val="clear" w:color="auto" w:fill="auto"/>
            <w:vAlign w:val="center"/>
            <w:hideMark/>
          </w:tcPr>
          <w:p w14:paraId="68C0CEE0" w14:textId="1BCC67CC" w:rsidR="00CA5F6E" w:rsidRPr="00CA5F6E" w:rsidRDefault="00CA5F6E" w:rsidP="00CA5F6E">
            <w:pPr>
              <w:jc w:val="center"/>
              <w:rPr>
                <w:rFonts w:cs="Arial"/>
                <w:b/>
                <w:bCs/>
                <w:sz w:val="20"/>
                <w:lang w:eastAsia="en-GB"/>
              </w:rPr>
            </w:pPr>
            <w:r w:rsidRPr="00CA5F6E">
              <w:rPr>
                <w:rFonts w:cs="Arial"/>
                <w:b/>
                <w:bCs/>
                <w:color w:val="000000"/>
                <w:sz w:val="20"/>
              </w:rPr>
              <w:t>£’000</w:t>
            </w:r>
          </w:p>
        </w:tc>
        <w:tc>
          <w:tcPr>
            <w:tcW w:w="1005" w:type="dxa"/>
            <w:shd w:val="clear" w:color="auto" w:fill="auto"/>
            <w:vAlign w:val="center"/>
          </w:tcPr>
          <w:p w14:paraId="47CD4CE7" w14:textId="7B75F297" w:rsidR="00CA5F6E" w:rsidRPr="00CA5F6E" w:rsidRDefault="00CA5F6E" w:rsidP="00CA5F6E">
            <w:pPr>
              <w:jc w:val="center"/>
              <w:rPr>
                <w:rFonts w:cs="Arial"/>
                <w:b/>
                <w:bCs/>
                <w:sz w:val="20"/>
                <w:lang w:eastAsia="en-GB"/>
              </w:rPr>
            </w:pPr>
            <w:r w:rsidRPr="00CA5F6E">
              <w:rPr>
                <w:rFonts w:cs="Arial"/>
                <w:b/>
                <w:bCs/>
                <w:color w:val="000000"/>
                <w:sz w:val="20"/>
              </w:rPr>
              <w:t>£’000</w:t>
            </w:r>
          </w:p>
        </w:tc>
        <w:tc>
          <w:tcPr>
            <w:tcW w:w="1050" w:type="dxa"/>
            <w:shd w:val="clear" w:color="auto" w:fill="auto"/>
            <w:vAlign w:val="center"/>
          </w:tcPr>
          <w:p w14:paraId="2A0C187B" w14:textId="63E01E38" w:rsidR="00CA5F6E" w:rsidRPr="00CA5F6E" w:rsidRDefault="00CA5F6E" w:rsidP="00CA5F6E">
            <w:pPr>
              <w:jc w:val="center"/>
              <w:rPr>
                <w:rFonts w:cs="Arial"/>
                <w:b/>
                <w:bCs/>
                <w:sz w:val="20"/>
                <w:lang w:eastAsia="en-GB"/>
              </w:rPr>
            </w:pPr>
            <w:r w:rsidRPr="00CA5F6E">
              <w:rPr>
                <w:rFonts w:cs="Arial"/>
                <w:b/>
                <w:bCs/>
                <w:color w:val="000000"/>
                <w:sz w:val="20"/>
              </w:rPr>
              <w:t>£’000</w:t>
            </w:r>
          </w:p>
        </w:tc>
        <w:tc>
          <w:tcPr>
            <w:tcW w:w="1050" w:type="dxa"/>
            <w:shd w:val="clear" w:color="auto" w:fill="auto"/>
            <w:vAlign w:val="center"/>
          </w:tcPr>
          <w:p w14:paraId="17CDA760" w14:textId="5E561723" w:rsidR="00CA5F6E" w:rsidRPr="00CA5F6E" w:rsidRDefault="00CA5F6E" w:rsidP="00CA5F6E">
            <w:pPr>
              <w:jc w:val="center"/>
              <w:rPr>
                <w:rFonts w:cs="Arial"/>
                <w:b/>
                <w:bCs/>
                <w:sz w:val="20"/>
                <w:lang w:eastAsia="en-GB"/>
              </w:rPr>
            </w:pPr>
            <w:r w:rsidRPr="00CA5F6E">
              <w:rPr>
                <w:rFonts w:cs="Arial"/>
                <w:b/>
                <w:bCs/>
                <w:color w:val="000000"/>
                <w:sz w:val="20"/>
              </w:rPr>
              <w:t>£’000</w:t>
            </w:r>
          </w:p>
        </w:tc>
        <w:tc>
          <w:tcPr>
            <w:tcW w:w="1050" w:type="dxa"/>
          </w:tcPr>
          <w:p w14:paraId="0848DBEC" w14:textId="1711A7A6" w:rsidR="00CA5F6E" w:rsidRPr="00CA5F6E" w:rsidRDefault="00CA5F6E" w:rsidP="00CA5F6E">
            <w:pPr>
              <w:jc w:val="center"/>
              <w:rPr>
                <w:rFonts w:cs="Arial"/>
                <w:b/>
                <w:bCs/>
                <w:color w:val="000000"/>
                <w:sz w:val="20"/>
              </w:rPr>
            </w:pPr>
            <w:r w:rsidRPr="00CA5F6E">
              <w:rPr>
                <w:rFonts w:cs="Arial"/>
                <w:b/>
                <w:bCs/>
                <w:color w:val="000000"/>
                <w:sz w:val="20"/>
              </w:rPr>
              <w:t>£’000</w:t>
            </w:r>
          </w:p>
        </w:tc>
        <w:tc>
          <w:tcPr>
            <w:tcW w:w="1206" w:type="dxa"/>
            <w:shd w:val="clear" w:color="auto" w:fill="auto"/>
            <w:vAlign w:val="center"/>
          </w:tcPr>
          <w:p w14:paraId="7D163F53" w14:textId="73BBD78B" w:rsidR="00CA5F6E" w:rsidRPr="00CA5F6E" w:rsidRDefault="00CA5F6E" w:rsidP="00CA5F6E">
            <w:pPr>
              <w:jc w:val="center"/>
              <w:rPr>
                <w:rFonts w:cs="Arial"/>
                <w:b/>
                <w:bCs/>
                <w:sz w:val="20"/>
                <w:lang w:eastAsia="en-GB"/>
              </w:rPr>
            </w:pPr>
            <w:r w:rsidRPr="00CA5F6E">
              <w:rPr>
                <w:rFonts w:cs="Arial"/>
                <w:b/>
                <w:bCs/>
                <w:color w:val="000000"/>
                <w:sz w:val="20"/>
              </w:rPr>
              <w:t>£’000</w:t>
            </w:r>
          </w:p>
        </w:tc>
      </w:tr>
      <w:tr w:rsidR="00CA5F6E" w:rsidRPr="00CA5F6E" w14:paraId="2984C18F" w14:textId="5988548D" w:rsidTr="00CA5F6E">
        <w:trPr>
          <w:trHeight w:hRule="exact" w:val="588"/>
        </w:trPr>
        <w:tc>
          <w:tcPr>
            <w:tcW w:w="1106" w:type="dxa"/>
            <w:tcBorders>
              <w:bottom w:val="nil"/>
            </w:tcBorders>
            <w:shd w:val="clear" w:color="auto" w:fill="auto"/>
            <w:vAlign w:val="center"/>
          </w:tcPr>
          <w:p w14:paraId="6EF8594E" w14:textId="57E09724" w:rsidR="00CA5F6E" w:rsidRPr="00CA5F6E" w:rsidRDefault="00CA5F6E" w:rsidP="00CA5F6E">
            <w:pPr>
              <w:rPr>
                <w:rFonts w:cs="Arial"/>
                <w:sz w:val="20"/>
                <w:lang w:eastAsia="en-GB"/>
              </w:rPr>
            </w:pPr>
            <w:r w:rsidRPr="00CA5F6E">
              <w:rPr>
                <w:rFonts w:cs="Arial"/>
                <w:color w:val="000000"/>
                <w:sz w:val="20"/>
              </w:rPr>
              <w:t>Adults</w:t>
            </w:r>
          </w:p>
        </w:tc>
        <w:tc>
          <w:tcPr>
            <w:tcW w:w="1447" w:type="dxa"/>
            <w:shd w:val="clear" w:color="auto" w:fill="auto"/>
            <w:noWrap/>
            <w:vAlign w:val="center"/>
          </w:tcPr>
          <w:p w14:paraId="4886EB2A" w14:textId="1CB8AF4E" w:rsidR="00CA5F6E" w:rsidRPr="00CA5F6E" w:rsidRDefault="00CA5F6E" w:rsidP="00CA5F6E">
            <w:pPr>
              <w:rPr>
                <w:rFonts w:cs="Arial"/>
                <w:sz w:val="20"/>
                <w:lang w:eastAsia="en-GB"/>
              </w:rPr>
            </w:pPr>
            <w:r w:rsidRPr="00CA5F6E">
              <w:rPr>
                <w:rFonts w:cs="Arial"/>
                <w:color w:val="000000"/>
                <w:sz w:val="20"/>
              </w:rPr>
              <w:t>Strategic Management</w:t>
            </w:r>
          </w:p>
        </w:tc>
        <w:tc>
          <w:tcPr>
            <w:tcW w:w="984" w:type="dxa"/>
          </w:tcPr>
          <w:p w14:paraId="59998321" w14:textId="5DA6F52C" w:rsidR="00CA5F6E" w:rsidRPr="00CA5F6E" w:rsidRDefault="00CA5F6E" w:rsidP="00CA5F6E">
            <w:pPr>
              <w:jc w:val="right"/>
              <w:rPr>
                <w:sz w:val="20"/>
              </w:rPr>
            </w:pPr>
            <w:r w:rsidRPr="00CA5F6E">
              <w:rPr>
                <w:sz w:val="20"/>
              </w:rPr>
              <w:t>1,081</w:t>
            </w:r>
          </w:p>
        </w:tc>
        <w:tc>
          <w:tcPr>
            <w:tcW w:w="1050" w:type="dxa"/>
            <w:shd w:val="clear" w:color="000000" w:fill="FFFFFF"/>
            <w:noWrap/>
          </w:tcPr>
          <w:p w14:paraId="7AF87E66" w14:textId="6C63DE84" w:rsidR="00CA5F6E" w:rsidRPr="00CA5F6E" w:rsidRDefault="00CA5F6E" w:rsidP="00CA5F6E">
            <w:pPr>
              <w:jc w:val="right"/>
              <w:rPr>
                <w:rFonts w:cs="Arial"/>
                <w:sz w:val="20"/>
                <w:lang w:eastAsia="en-GB"/>
              </w:rPr>
            </w:pPr>
            <w:r w:rsidRPr="00CA5F6E">
              <w:rPr>
                <w:sz w:val="20"/>
              </w:rPr>
              <w:t>2,239</w:t>
            </w:r>
          </w:p>
        </w:tc>
        <w:tc>
          <w:tcPr>
            <w:tcW w:w="1106" w:type="dxa"/>
            <w:shd w:val="clear" w:color="000000" w:fill="FFFFFF"/>
            <w:noWrap/>
          </w:tcPr>
          <w:p w14:paraId="2A160E96" w14:textId="4A5CAD51" w:rsidR="00CA5F6E" w:rsidRPr="00CA5F6E" w:rsidRDefault="00CA5F6E" w:rsidP="00CA5F6E">
            <w:pPr>
              <w:jc w:val="right"/>
              <w:rPr>
                <w:rFonts w:cs="Arial"/>
                <w:sz w:val="20"/>
                <w:lang w:eastAsia="en-GB"/>
              </w:rPr>
            </w:pPr>
            <w:r w:rsidRPr="00CA5F6E">
              <w:rPr>
                <w:sz w:val="20"/>
              </w:rPr>
              <w:t>-1000</w:t>
            </w:r>
          </w:p>
        </w:tc>
        <w:tc>
          <w:tcPr>
            <w:tcW w:w="1005" w:type="dxa"/>
            <w:shd w:val="clear" w:color="000000" w:fill="FFFFFF"/>
          </w:tcPr>
          <w:p w14:paraId="7634486B" w14:textId="099D673C" w:rsidR="00CA5F6E" w:rsidRPr="00CA5F6E" w:rsidRDefault="00CA5F6E" w:rsidP="00CA5F6E">
            <w:pPr>
              <w:jc w:val="right"/>
              <w:rPr>
                <w:rFonts w:cs="Arial"/>
                <w:sz w:val="20"/>
                <w:lang w:eastAsia="en-GB"/>
              </w:rPr>
            </w:pPr>
            <w:r w:rsidRPr="00CA5F6E">
              <w:rPr>
                <w:sz w:val="20"/>
              </w:rPr>
              <w:t>0</w:t>
            </w:r>
          </w:p>
        </w:tc>
        <w:tc>
          <w:tcPr>
            <w:tcW w:w="1050" w:type="dxa"/>
            <w:shd w:val="clear" w:color="auto" w:fill="auto"/>
          </w:tcPr>
          <w:p w14:paraId="60AB5FBD" w14:textId="430AF02F" w:rsidR="00CA5F6E" w:rsidRPr="00CA5F6E" w:rsidRDefault="00CA5F6E" w:rsidP="00CA5F6E">
            <w:pPr>
              <w:jc w:val="right"/>
              <w:rPr>
                <w:rFonts w:cs="Arial"/>
                <w:sz w:val="20"/>
                <w:lang w:eastAsia="en-GB"/>
              </w:rPr>
            </w:pPr>
            <w:r w:rsidRPr="00CA5F6E">
              <w:rPr>
                <w:sz w:val="20"/>
              </w:rPr>
              <w:t>1,239</w:t>
            </w:r>
          </w:p>
        </w:tc>
        <w:tc>
          <w:tcPr>
            <w:tcW w:w="1050" w:type="dxa"/>
            <w:shd w:val="clear" w:color="auto" w:fill="auto"/>
          </w:tcPr>
          <w:p w14:paraId="1B4839B5" w14:textId="292847CA" w:rsidR="00CA5F6E" w:rsidRPr="00CA5F6E" w:rsidRDefault="00CA5F6E" w:rsidP="00CA5F6E">
            <w:pPr>
              <w:jc w:val="right"/>
              <w:rPr>
                <w:rFonts w:cs="Arial"/>
                <w:sz w:val="20"/>
              </w:rPr>
            </w:pPr>
            <w:r w:rsidRPr="00CA5F6E">
              <w:rPr>
                <w:sz w:val="20"/>
              </w:rPr>
              <w:t>158</w:t>
            </w:r>
          </w:p>
        </w:tc>
        <w:tc>
          <w:tcPr>
            <w:tcW w:w="1050" w:type="dxa"/>
          </w:tcPr>
          <w:p w14:paraId="4D029427" w14:textId="63734043" w:rsidR="00CA5F6E" w:rsidRPr="00CA5F6E" w:rsidRDefault="00CA5F6E" w:rsidP="00CA5F6E">
            <w:pPr>
              <w:jc w:val="right"/>
              <w:rPr>
                <w:sz w:val="20"/>
              </w:rPr>
            </w:pPr>
            <w:r w:rsidRPr="00CA5F6E">
              <w:rPr>
                <w:sz w:val="20"/>
              </w:rPr>
              <w:t>0</w:t>
            </w:r>
          </w:p>
        </w:tc>
        <w:tc>
          <w:tcPr>
            <w:tcW w:w="1206" w:type="dxa"/>
            <w:shd w:val="clear" w:color="000000" w:fill="F2F2F2"/>
          </w:tcPr>
          <w:p w14:paraId="5E2099BC" w14:textId="44BD4197" w:rsidR="00CA5F6E" w:rsidRPr="00CA5F6E" w:rsidRDefault="00CA5F6E" w:rsidP="00CA5F6E">
            <w:pPr>
              <w:jc w:val="right"/>
              <w:rPr>
                <w:rFonts w:cs="Arial"/>
                <w:sz w:val="20"/>
              </w:rPr>
            </w:pPr>
            <w:r w:rsidRPr="00CA5F6E">
              <w:rPr>
                <w:sz w:val="20"/>
              </w:rPr>
              <w:t>158</w:t>
            </w:r>
          </w:p>
        </w:tc>
      </w:tr>
      <w:tr w:rsidR="00CA5F6E" w:rsidRPr="00CA5F6E" w14:paraId="1AE80566" w14:textId="23B6AC72" w:rsidTr="00CA5F6E">
        <w:trPr>
          <w:trHeight w:hRule="exact" w:val="289"/>
        </w:trPr>
        <w:tc>
          <w:tcPr>
            <w:tcW w:w="1106" w:type="dxa"/>
            <w:tcBorders>
              <w:top w:val="nil"/>
              <w:bottom w:val="nil"/>
            </w:tcBorders>
            <w:shd w:val="clear" w:color="auto" w:fill="auto"/>
            <w:vAlign w:val="center"/>
          </w:tcPr>
          <w:p w14:paraId="71FC90E4" w14:textId="201DA3CB" w:rsidR="00CA5F6E" w:rsidRPr="00CA5F6E" w:rsidRDefault="00CA5F6E" w:rsidP="00CA5F6E">
            <w:pPr>
              <w:rPr>
                <w:rFonts w:cs="Arial"/>
                <w:sz w:val="20"/>
                <w:lang w:eastAsia="en-GB"/>
              </w:rPr>
            </w:pPr>
            <w:r w:rsidRPr="00CA5F6E">
              <w:rPr>
                <w:rFonts w:cs="Arial"/>
                <w:color w:val="000000"/>
                <w:sz w:val="20"/>
              </w:rPr>
              <w:t> </w:t>
            </w:r>
          </w:p>
        </w:tc>
        <w:tc>
          <w:tcPr>
            <w:tcW w:w="1447" w:type="dxa"/>
            <w:shd w:val="clear" w:color="auto" w:fill="auto"/>
            <w:noWrap/>
            <w:vAlign w:val="center"/>
          </w:tcPr>
          <w:p w14:paraId="014F5E30" w14:textId="70415D12" w:rsidR="00CA5F6E" w:rsidRPr="00CA5F6E" w:rsidRDefault="00CA5F6E" w:rsidP="00CA5F6E">
            <w:pPr>
              <w:rPr>
                <w:rFonts w:cs="Arial"/>
                <w:sz w:val="20"/>
                <w:lang w:eastAsia="en-GB"/>
              </w:rPr>
            </w:pPr>
            <w:r w:rsidRPr="00CA5F6E">
              <w:rPr>
                <w:rFonts w:cs="Arial"/>
                <w:color w:val="000000"/>
                <w:sz w:val="20"/>
              </w:rPr>
              <w:t>Purchasing</w:t>
            </w:r>
          </w:p>
        </w:tc>
        <w:tc>
          <w:tcPr>
            <w:tcW w:w="984" w:type="dxa"/>
          </w:tcPr>
          <w:p w14:paraId="05066286" w14:textId="69EA2E49" w:rsidR="00CA5F6E" w:rsidRPr="00CA5F6E" w:rsidRDefault="00CA5F6E" w:rsidP="00CA5F6E">
            <w:pPr>
              <w:jc w:val="right"/>
              <w:rPr>
                <w:sz w:val="20"/>
              </w:rPr>
            </w:pPr>
            <w:r w:rsidRPr="00CA5F6E">
              <w:rPr>
                <w:sz w:val="20"/>
              </w:rPr>
              <w:t>42,195</w:t>
            </w:r>
          </w:p>
        </w:tc>
        <w:tc>
          <w:tcPr>
            <w:tcW w:w="1050" w:type="dxa"/>
            <w:shd w:val="clear" w:color="000000" w:fill="FFFFFF"/>
            <w:noWrap/>
          </w:tcPr>
          <w:p w14:paraId="5CDD0584" w14:textId="5BCE013A" w:rsidR="00CA5F6E" w:rsidRPr="00CA5F6E" w:rsidRDefault="00CA5F6E" w:rsidP="00CA5F6E">
            <w:pPr>
              <w:jc w:val="right"/>
              <w:rPr>
                <w:rFonts w:cs="Arial"/>
                <w:sz w:val="20"/>
                <w:lang w:eastAsia="en-GB"/>
              </w:rPr>
            </w:pPr>
            <w:r w:rsidRPr="00CA5F6E">
              <w:rPr>
                <w:sz w:val="20"/>
              </w:rPr>
              <w:t>43,238</w:t>
            </w:r>
          </w:p>
        </w:tc>
        <w:tc>
          <w:tcPr>
            <w:tcW w:w="1106" w:type="dxa"/>
            <w:shd w:val="clear" w:color="000000" w:fill="FFFFFF"/>
            <w:noWrap/>
          </w:tcPr>
          <w:p w14:paraId="26298DFF" w14:textId="11E045F4" w:rsidR="00CA5F6E" w:rsidRPr="00CA5F6E" w:rsidRDefault="00CA5F6E" w:rsidP="00CA5F6E">
            <w:pPr>
              <w:jc w:val="right"/>
              <w:rPr>
                <w:rFonts w:cs="Arial"/>
                <w:sz w:val="20"/>
                <w:lang w:eastAsia="en-GB"/>
              </w:rPr>
            </w:pPr>
            <w:r w:rsidRPr="00CA5F6E">
              <w:rPr>
                <w:sz w:val="20"/>
              </w:rPr>
              <w:t>0</w:t>
            </w:r>
          </w:p>
        </w:tc>
        <w:tc>
          <w:tcPr>
            <w:tcW w:w="1005" w:type="dxa"/>
            <w:shd w:val="clear" w:color="000000" w:fill="FFFFFF"/>
          </w:tcPr>
          <w:p w14:paraId="233923F0" w14:textId="64A89F76" w:rsidR="00CA5F6E" w:rsidRPr="00CA5F6E" w:rsidRDefault="00CA5F6E" w:rsidP="00CA5F6E">
            <w:pPr>
              <w:jc w:val="right"/>
              <w:rPr>
                <w:rFonts w:cs="Arial"/>
                <w:sz w:val="20"/>
                <w:lang w:eastAsia="en-GB"/>
              </w:rPr>
            </w:pPr>
            <w:r w:rsidRPr="00CA5F6E">
              <w:rPr>
                <w:sz w:val="20"/>
              </w:rPr>
              <w:t>-950</w:t>
            </w:r>
          </w:p>
        </w:tc>
        <w:tc>
          <w:tcPr>
            <w:tcW w:w="1050" w:type="dxa"/>
            <w:shd w:val="clear" w:color="auto" w:fill="auto"/>
          </w:tcPr>
          <w:p w14:paraId="2D471471" w14:textId="29AC3193" w:rsidR="00CA5F6E" w:rsidRPr="00CA5F6E" w:rsidRDefault="00CA5F6E" w:rsidP="00CA5F6E">
            <w:pPr>
              <w:jc w:val="right"/>
              <w:rPr>
                <w:rFonts w:cs="Arial"/>
                <w:sz w:val="20"/>
                <w:lang w:eastAsia="en-GB"/>
              </w:rPr>
            </w:pPr>
            <w:r w:rsidRPr="00CA5F6E">
              <w:rPr>
                <w:sz w:val="20"/>
              </w:rPr>
              <w:t>42,288</w:t>
            </w:r>
          </w:p>
        </w:tc>
        <w:tc>
          <w:tcPr>
            <w:tcW w:w="1050" w:type="dxa"/>
            <w:shd w:val="clear" w:color="auto" w:fill="auto"/>
          </w:tcPr>
          <w:p w14:paraId="2AE7A039" w14:textId="0A4560AF" w:rsidR="00CA5F6E" w:rsidRPr="00CA5F6E" w:rsidRDefault="00CA5F6E" w:rsidP="00CA5F6E">
            <w:pPr>
              <w:jc w:val="right"/>
              <w:rPr>
                <w:rFonts w:cs="Arial"/>
                <w:sz w:val="20"/>
              </w:rPr>
            </w:pPr>
            <w:r w:rsidRPr="00CA5F6E">
              <w:rPr>
                <w:sz w:val="20"/>
              </w:rPr>
              <w:t>93</w:t>
            </w:r>
          </w:p>
        </w:tc>
        <w:tc>
          <w:tcPr>
            <w:tcW w:w="1050" w:type="dxa"/>
          </w:tcPr>
          <w:p w14:paraId="01A4FB5E" w14:textId="27D5FC1A" w:rsidR="00CA5F6E" w:rsidRPr="00CA5F6E" w:rsidRDefault="00CA5F6E" w:rsidP="00CA5F6E">
            <w:pPr>
              <w:jc w:val="right"/>
              <w:rPr>
                <w:sz w:val="20"/>
              </w:rPr>
            </w:pPr>
            <w:r w:rsidRPr="00CA5F6E">
              <w:rPr>
                <w:sz w:val="20"/>
              </w:rPr>
              <w:t>0</w:t>
            </w:r>
          </w:p>
        </w:tc>
        <w:tc>
          <w:tcPr>
            <w:tcW w:w="1206" w:type="dxa"/>
            <w:shd w:val="clear" w:color="000000" w:fill="F2F2F2"/>
          </w:tcPr>
          <w:p w14:paraId="32026183" w14:textId="321786E2" w:rsidR="00CA5F6E" w:rsidRPr="00CA5F6E" w:rsidRDefault="00CA5F6E" w:rsidP="00CA5F6E">
            <w:pPr>
              <w:jc w:val="right"/>
              <w:rPr>
                <w:rFonts w:cs="Arial"/>
                <w:sz w:val="20"/>
              </w:rPr>
            </w:pPr>
            <w:r w:rsidRPr="00CA5F6E">
              <w:rPr>
                <w:sz w:val="20"/>
              </w:rPr>
              <w:t>93</w:t>
            </w:r>
          </w:p>
        </w:tc>
      </w:tr>
      <w:tr w:rsidR="00CA5F6E" w:rsidRPr="00CA5F6E" w14:paraId="0246F1BA" w14:textId="2063BF1A" w:rsidTr="00CA5F6E">
        <w:trPr>
          <w:trHeight w:hRule="exact" w:val="558"/>
        </w:trPr>
        <w:tc>
          <w:tcPr>
            <w:tcW w:w="1106" w:type="dxa"/>
            <w:tcBorders>
              <w:top w:val="nil"/>
              <w:bottom w:val="nil"/>
            </w:tcBorders>
            <w:shd w:val="clear" w:color="auto" w:fill="auto"/>
            <w:vAlign w:val="center"/>
          </w:tcPr>
          <w:p w14:paraId="14042077" w14:textId="1700EE5B" w:rsidR="00CA5F6E" w:rsidRPr="00CA5F6E" w:rsidRDefault="00CA5F6E" w:rsidP="00CA5F6E">
            <w:pPr>
              <w:rPr>
                <w:rFonts w:cs="Arial"/>
                <w:sz w:val="20"/>
                <w:lang w:eastAsia="en-GB"/>
              </w:rPr>
            </w:pPr>
            <w:r w:rsidRPr="00CA5F6E">
              <w:rPr>
                <w:rFonts w:cs="Arial"/>
                <w:color w:val="000000"/>
                <w:sz w:val="20"/>
              </w:rPr>
              <w:t> </w:t>
            </w:r>
          </w:p>
        </w:tc>
        <w:tc>
          <w:tcPr>
            <w:tcW w:w="1447" w:type="dxa"/>
            <w:shd w:val="clear" w:color="auto" w:fill="auto"/>
            <w:noWrap/>
            <w:vAlign w:val="center"/>
          </w:tcPr>
          <w:p w14:paraId="7D5E3BBC" w14:textId="028DEB0D" w:rsidR="00CA5F6E" w:rsidRPr="00CA5F6E" w:rsidRDefault="00CA5F6E" w:rsidP="00CA5F6E">
            <w:pPr>
              <w:rPr>
                <w:rFonts w:cs="Arial"/>
                <w:sz w:val="20"/>
                <w:lang w:eastAsia="en-GB"/>
              </w:rPr>
            </w:pPr>
            <w:r w:rsidRPr="00CA5F6E">
              <w:rPr>
                <w:rFonts w:cs="Arial"/>
                <w:color w:val="000000"/>
                <w:sz w:val="20"/>
              </w:rPr>
              <w:t>Mental Health</w:t>
            </w:r>
          </w:p>
        </w:tc>
        <w:tc>
          <w:tcPr>
            <w:tcW w:w="984" w:type="dxa"/>
          </w:tcPr>
          <w:p w14:paraId="17F78200" w14:textId="1515F31B" w:rsidR="00CA5F6E" w:rsidRPr="00CA5F6E" w:rsidRDefault="00CA5F6E" w:rsidP="00CA5F6E">
            <w:pPr>
              <w:jc w:val="right"/>
              <w:rPr>
                <w:sz w:val="20"/>
              </w:rPr>
            </w:pPr>
            <w:r w:rsidRPr="00CA5F6E">
              <w:rPr>
                <w:sz w:val="20"/>
              </w:rPr>
              <w:t>6,422</w:t>
            </w:r>
          </w:p>
        </w:tc>
        <w:tc>
          <w:tcPr>
            <w:tcW w:w="1050" w:type="dxa"/>
            <w:shd w:val="clear" w:color="000000" w:fill="FFFFFF"/>
            <w:noWrap/>
          </w:tcPr>
          <w:p w14:paraId="23269894" w14:textId="0006C3B5" w:rsidR="00CA5F6E" w:rsidRPr="00CA5F6E" w:rsidRDefault="00CA5F6E" w:rsidP="00CA5F6E">
            <w:pPr>
              <w:jc w:val="right"/>
              <w:rPr>
                <w:rFonts w:cs="Arial"/>
                <w:sz w:val="20"/>
                <w:lang w:eastAsia="en-GB"/>
              </w:rPr>
            </w:pPr>
            <w:r w:rsidRPr="00CA5F6E">
              <w:rPr>
                <w:sz w:val="20"/>
              </w:rPr>
              <w:t>6,222</w:t>
            </w:r>
          </w:p>
        </w:tc>
        <w:tc>
          <w:tcPr>
            <w:tcW w:w="1106" w:type="dxa"/>
            <w:shd w:val="clear" w:color="000000" w:fill="FFFFFF"/>
            <w:noWrap/>
          </w:tcPr>
          <w:p w14:paraId="1AB83438" w14:textId="625928C7" w:rsidR="00CA5F6E" w:rsidRPr="00CA5F6E" w:rsidRDefault="00CA5F6E" w:rsidP="00CA5F6E">
            <w:pPr>
              <w:jc w:val="right"/>
              <w:rPr>
                <w:rFonts w:cs="Arial"/>
                <w:sz w:val="20"/>
                <w:lang w:eastAsia="en-GB"/>
              </w:rPr>
            </w:pPr>
            <w:r w:rsidRPr="00CA5F6E">
              <w:rPr>
                <w:sz w:val="20"/>
              </w:rPr>
              <w:t>0</w:t>
            </w:r>
          </w:p>
        </w:tc>
        <w:tc>
          <w:tcPr>
            <w:tcW w:w="1005" w:type="dxa"/>
            <w:shd w:val="clear" w:color="000000" w:fill="FFFFFF"/>
          </w:tcPr>
          <w:p w14:paraId="594A0D31" w14:textId="33FE72DE" w:rsidR="00CA5F6E" w:rsidRPr="00CA5F6E" w:rsidRDefault="00CA5F6E" w:rsidP="00CA5F6E">
            <w:pPr>
              <w:jc w:val="right"/>
              <w:rPr>
                <w:rFonts w:cs="Arial"/>
                <w:sz w:val="20"/>
                <w:lang w:eastAsia="en-GB"/>
              </w:rPr>
            </w:pPr>
            <w:r w:rsidRPr="00CA5F6E">
              <w:rPr>
                <w:sz w:val="20"/>
              </w:rPr>
              <w:t>0</w:t>
            </w:r>
          </w:p>
        </w:tc>
        <w:tc>
          <w:tcPr>
            <w:tcW w:w="1050" w:type="dxa"/>
            <w:shd w:val="clear" w:color="auto" w:fill="auto"/>
          </w:tcPr>
          <w:p w14:paraId="6BB7B927" w14:textId="0AFE9AD9" w:rsidR="00CA5F6E" w:rsidRPr="00CA5F6E" w:rsidRDefault="00CA5F6E" w:rsidP="00CA5F6E">
            <w:pPr>
              <w:jc w:val="right"/>
              <w:rPr>
                <w:rFonts w:cs="Arial"/>
                <w:sz w:val="20"/>
                <w:lang w:eastAsia="en-GB"/>
              </w:rPr>
            </w:pPr>
            <w:r w:rsidRPr="00CA5F6E">
              <w:rPr>
                <w:sz w:val="20"/>
              </w:rPr>
              <w:t>6,222</w:t>
            </w:r>
          </w:p>
        </w:tc>
        <w:tc>
          <w:tcPr>
            <w:tcW w:w="1050" w:type="dxa"/>
            <w:shd w:val="clear" w:color="auto" w:fill="auto"/>
          </w:tcPr>
          <w:p w14:paraId="2C2F6966" w14:textId="327A12D6" w:rsidR="00CA5F6E" w:rsidRPr="00CA5F6E" w:rsidRDefault="00CA5F6E" w:rsidP="00CA5F6E">
            <w:pPr>
              <w:jc w:val="right"/>
              <w:rPr>
                <w:rFonts w:cs="Arial"/>
                <w:sz w:val="20"/>
              </w:rPr>
            </w:pPr>
            <w:r w:rsidRPr="00CA5F6E">
              <w:rPr>
                <w:sz w:val="20"/>
              </w:rPr>
              <w:t>-200</w:t>
            </w:r>
          </w:p>
        </w:tc>
        <w:tc>
          <w:tcPr>
            <w:tcW w:w="1050" w:type="dxa"/>
          </w:tcPr>
          <w:p w14:paraId="4B515B01" w14:textId="513CCC0C" w:rsidR="00CA5F6E" w:rsidRPr="00CA5F6E" w:rsidRDefault="00CA5F6E" w:rsidP="00CA5F6E">
            <w:pPr>
              <w:jc w:val="right"/>
              <w:rPr>
                <w:sz w:val="20"/>
              </w:rPr>
            </w:pPr>
            <w:r w:rsidRPr="00CA5F6E">
              <w:rPr>
                <w:sz w:val="20"/>
              </w:rPr>
              <w:t>0</w:t>
            </w:r>
          </w:p>
        </w:tc>
        <w:tc>
          <w:tcPr>
            <w:tcW w:w="1206" w:type="dxa"/>
            <w:shd w:val="clear" w:color="000000" w:fill="F2F2F2"/>
          </w:tcPr>
          <w:p w14:paraId="2DA6FA20" w14:textId="7AF5B51C" w:rsidR="00CA5F6E" w:rsidRPr="00CA5F6E" w:rsidRDefault="00CA5F6E" w:rsidP="00CA5F6E">
            <w:pPr>
              <w:jc w:val="right"/>
              <w:rPr>
                <w:rFonts w:cs="Arial"/>
                <w:sz w:val="20"/>
              </w:rPr>
            </w:pPr>
            <w:r w:rsidRPr="00CA5F6E">
              <w:rPr>
                <w:sz w:val="20"/>
              </w:rPr>
              <w:t>-200</w:t>
            </w:r>
          </w:p>
        </w:tc>
      </w:tr>
      <w:tr w:rsidR="00CA5F6E" w:rsidRPr="00CA5F6E" w14:paraId="5D1FA6C6" w14:textId="77777777" w:rsidTr="00CA5F6E">
        <w:trPr>
          <w:trHeight w:hRule="exact" w:val="289"/>
        </w:trPr>
        <w:tc>
          <w:tcPr>
            <w:tcW w:w="1106" w:type="dxa"/>
            <w:tcBorders>
              <w:top w:val="nil"/>
              <w:bottom w:val="nil"/>
            </w:tcBorders>
            <w:shd w:val="clear" w:color="auto" w:fill="auto"/>
            <w:vAlign w:val="center"/>
          </w:tcPr>
          <w:p w14:paraId="02882297" w14:textId="2DE49592" w:rsidR="00CA5F6E" w:rsidRPr="00CA5F6E" w:rsidRDefault="00CA5F6E" w:rsidP="00CA5F6E">
            <w:pPr>
              <w:rPr>
                <w:sz w:val="20"/>
              </w:rPr>
            </w:pPr>
            <w:r w:rsidRPr="00CA5F6E">
              <w:rPr>
                <w:rFonts w:cs="Arial"/>
                <w:color w:val="000000"/>
                <w:sz w:val="20"/>
              </w:rPr>
              <w:t> </w:t>
            </w:r>
          </w:p>
        </w:tc>
        <w:tc>
          <w:tcPr>
            <w:tcW w:w="1447" w:type="dxa"/>
            <w:shd w:val="clear" w:color="auto" w:fill="auto"/>
            <w:noWrap/>
            <w:vAlign w:val="center"/>
          </w:tcPr>
          <w:p w14:paraId="3BA39DD9" w14:textId="74B13468" w:rsidR="00CA5F6E" w:rsidRPr="00CA5F6E" w:rsidRDefault="00CA5F6E" w:rsidP="00CA5F6E">
            <w:pPr>
              <w:rPr>
                <w:sz w:val="20"/>
              </w:rPr>
            </w:pPr>
            <w:r w:rsidRPr="00CA5F6E">
              <w:rPr>
                <w:rFonts w:cs="Arial"/>
                <w:color w:val="000000"/>
                <w:sz w:val="20"/>
              </w:rPr>
              <w:t>Other Adults</w:t>
            </w:r>
          </w:p>
        </w:tc>
        <w:tc>
          <w:tcPr>
            <w:tcW w:w="984" w:type="dxa"/>
          </w:tcPr>
          <w:p w14:paraId="5FF2C112" w14:textId="7AB9F6F6" w:rsidR="00CA5F6E" w:rsidRPr="00CA5F6E" w:rsidRDefault="00CA5F6E" w:rsidP="00CA5F6E">
            <w:pPr>
              <w:jc w:val="right"/>
              <w:rPr>
                <w:sz w:val="20"/>
              </w:rPr>
            </w:pPr>
            <w:r w:rsidRPr="00CA5F6E">
              <w:rPr>
                <w:sz w:val="20"/>
              </w:rPr>
              <w:t>12,205</w:t>
            </w:r>
          </w:p>
        </w:tc>
        <w:tc>
          <w:tcPr>
            <w:tcW w:w="1050" w:type="dxa"/>
            <w:shd w:val="clear" w:color="000000" w:fill="FFFFFF"/>
            <w:noWrap/>
          </w:tcPr>
          <w:p w14:paraId="0EEB6102" w14:textId="156BADD1" w:rsidR="00CA5F6E" w:rsidRPr="00CA5F6E" w:rsidRDefault="00CA5F6E" w:rsidP="00CA5F6E">
            <w:pPr>
              <w:jc w:val="right"/>
              <w:rPr>
                <w:sz w:val="20"/>
              </w:rPr>
            </w:pPr>
            <w:r w:rsidRPr="00CA5F6E">
              <w:rPr>
                <w:sz w:val="20"/>
              </w:rPr>
              <w:t>12,658</w:t>
            </w:r>
          </w:p>
        </w:tc>
        <w:tc>
          <w:tcPr>
            <w:tcW w:w="1106" w:type="dxa"/>
            <w:shd w:val="clear" w:color="000000" w:fill="FFFFFF"/>
            <w:noWrap/>
          </w:tcPr>
          <w:p w14:paraId="76F545AB" w14:textId="6A23D8A9" w:rsidR="00CA5F6E" w:rsidRPr="00CA5F6E" w:rsidRDefault="00CA5F6E" w:rsidP="00CA5F6E">
            <w:pPr>
              <w:jc w:val="right"/>
              <w:rPr>
                <w:sz w:val="20"/>
              </w:rPr>
            </w:pPr>
            <w:r w:rsidRPr="00CA5F6E">
              <w:rPr>
                <w:sz w:val="20"/>
              </w:rPr>
              <w:t>0</w:t>
            </w:r>
          </w:p>
        </w:tc>
        <w:tc>
          <w:tcPr>
            <w:tcW w:w="1005" w:type="dxa"/>
            <w:shd w:val="clear" w:color="000000" w:fill="FFFFFF"/>
          </w:tcPr>
          <w:p w14:paraId="3A7E96F3" w14:textId="19AE8468" w:rsidR="00CA5F6E" w:rsidRPr="00CA5F6E" w:rsidRDefault="00CA5F6E" w:rsidP="00CA5F6E">
            <w:pPr>
              <w:jc w:val="right"/>
              <w:rPr>
                <w:sz w:val="20"/>
              </w:rPr>
            </w:pPr>
            <w:r w:rsidRPr="00CA5F6E">
              <w:rPr>
                <w:sz w:val="20"/>
              </w:rPr>
              <w:t>-75</w:t>
            </w:r>
          </w:p>
        </w:tc>
        <w:tc>
          <w:tcPr>
            <w:tcW w:w="1050" w:type="dxa"/>
            <w:shd w:val="clear" w:color="auto" w:fill="auto"/>
          </w:tcPr>
          <w:p w14:paraId="2571BC6C" w14:textId="289531A5" w:rsidR="00CA5F6E" w:rsidRPr="00CA5F6E" w:rsidRDefault="00CA5F6E" w:rsidP="00CA5F6E">
            <w:pPr>
              <w:jc w:val="right"/>
              <w:rPr>
                <w:sz w:val="20"/>
              </w:rPr>
            </w:pPr>
            <w:r w:rsidRPr="00CA5F6E">
              <w:rPr>
                <w:sz w:val="20"/>
              </w:rPr>
              <w:t>12,583</w:t>
            </w:r>
          </w:p>
        </w:tc>
        <w:tc>
          <w:tcPr>
            <w:tcW w:w="1050" w:type="dxa"/>
            <w:shd w:val="clear" w:color="auto" w:fill="auto"/>
          </w:tcPr>
          <w:p w14:paraId="17565467" w14:textId="1AAF0474" w:rsidR="00CA5F6E" w:rsidRPr="00CA5F6E" w:rsidRDefault="00CA5F6E" w:rsidP="00CA5F6E">
            <w:pPr>
              <w:jc w:val="right"/>
              <w:rPr>
                <w:sz w:val="20"/>
              </w:rPr>
            </w:pPr>
            <w:r w:rsidRPr="00CA5F6E">
              <w:rPr>
                <w:sz w:val="20"/>
              </w:rPr>
              <w:t>378</w:t>
            </w:r>
          </w:p>
        </w:tc>
        <w:tc>
          <w:tcPr>
            <w:tcW w:w="1050" w:type="dxa"/>
          </w:tcPr>
          <w:p w14:paraId="74C4A0B2" w14:textId="1582168D" w:rsidR="00CA5F6E" w:rsidRPr="00CA5F6E" w:rsidRDefault="00CA5F6E" w:rsidP="00CA5F6E">
            <w:pPr>
              <w:jc w:val="right"/>
              <w:rPr>
                <w:sz w:val="20"/>
              </w:rPr>
            </w:pPr>
            <w:r w:rsidRPr="00CA5F6E">
              <w:rPr>
                <w:sz w:val="20"/>
              </w:rPr>
              <w:t>0</w:t>
            </w:r>
          </w:p>
        </w:tc>
        <w:tc>
          <w:tcPr>
            <w:tcW w:w="1206" w:type="dxa"/>
            <w:shd w:val="clear" w:color="000000" w:fill="F2F2F2"/>
          </w:tcPr>
          <w:p w14:paraId="65F0ACBC" w14:textId="544DA30F" w:rsidR="00CA5F6E" w:rsidRPr="00CA5F6E" w:rsidRDefault="00CA5F6E" w:rsidP="00CA5F6E">
            <w:pPr>
              <w:jc w:val="right"/>
              <w:rPr>
                <w:sz w:val="20"/>
              </w:rPr>
            </w:pPr>
            <w:r w:rsidRPr="00CA5F6E">
              <w:rPr>
                <w:sz w:val="20"/>
              </w:rPr>
              <w:t>378</w:t>
            </w:r>
          </w:p>
        </w:tc>
      </w:tr>
      <w:tr w:rsidR="00CA5F6E" w:rsidRPr="00CA5F6E" w14:paraId="5B7CA920" w14:textId="77777777" w:rsidTr="00CA5F6E">
        <w:trPr>
          <w:trHeight w:hRule="exact" w:val="570"/>
        </w:trPr>
        <w:tc>
          <w:tcPr>
            <w:tcW w:w="1106" w:type="dxa"/>
            <w:tcBorders>
              <w:top w:val="nil"/>
            </w:tcBorders>
            <w:shd w:val="clear" w:color="auto" w:fill="auto"/>
            <w:vAlign w:val="center"/>
          </w:tcPr>
          <w:p w14:paraId="5687AA12" w14:textId="146EF213" w:rsidR="00CA5F6E" w:rsidRPr="00CA5F6E" w:rsidRDefault="00CA5F6E" w:rsidP="00CA5F6E">
            <w:pPr>
              <w:rPr>
                <w:sz w:val="20"/>
              </w:rPr>
            </w:pPr>
            <w:r w:rsidRPr="00CA5F6E">
              <w:rPr>
                <w:rFonts w:cs="Arial"/>
                <w:color w:val="000000"/>
                <w:sz w:val="20"/>
              </w:rPr>
              <w:t> </w:t>
            </w:r>
          </w:p>
        </w:tc>
        <w:tc>
          <w:tcPr>
            <w:tcW w:w="1447" w:type="dxa"/>
            <w:shd w:val="clear" w:color="auto" w:fill="auto"/>
            <w:noWrap/>
            <w:vAlign w:val="center"/>
          </w:tcPr>
          <w:p w14:paraId="2D945B1E" w14:textId="393E4C46" w:rsidR="00CA5F6E" w:rsidRPr="00CA5F6E" w:rsidRDefault="00CA5F6E" w:rsidP="00CA5F6E">
            <w:pPr>
              <w:rPr>
                <w:sz w:val="20"/>
              </w:rPr>
            </w:pPr>
            <w:r w:rsidRPr="00CA5F6E">
              <w:rPr>
                <w:rFonts w:cs="Arial"/>
                <w:color w:val="000000"/>
                <w:sz w:val="20"/>
              </w:rPr>
              <w:t>In House Services</w:t>
            </w:r>
          </w:p>
        </w:tc>
        <w:tc>
          <w:tcPr>
            <w:tcW w:w="984" w:type="dxa"/>
          </w:tcPr>
          <w:p w14:paraId="4EA21D40" w14:textId="4E6D6358" w:rsidR="00CA5F6E" w:rsidRPr="00CA5F6E" w:rsidRDefault="00CA5F6E" w:rsidP="00CA5F6E">
            <w:pPr>
              <w:jc w:val="right"/>
              <w:rPr>
                <w:sz w:val="20"/>
              </w:rPr>
            </w:pPr>
            <w:r w:rsidRPr="00CA5F6E">
              <w:rPr>
                <w:sz w:val="20"/>
              </w:rPr>
              <w:t>5,416</w:t>
            </w:r>
          </w:p>
        </w:tc>
        <w:tc>
          <w:tcPr>
            <w:tcW w:w="1050" w:type="dxa"/>
            <w:shd w:val="clear" w:color="000000" w:fill="FFFFFF"/>
            <w:noWrap/>
          </w:tcPr>
          <w:p w14:paraId="2F785AED" w14:textId="0612FE4E" w:rsidR="00CA5F6E" w:rsidRPr="00CA5F6E" w:rsidRDefault="00CA5F6E" w:rsidP="00CA5F6E">
            <w:pPr>
              <w:jc w:val="right"/>
              <w:rPr>
                <w:sz w:val="20"/>
              </w:rPr>
            </w:pPr>
            <w:r w:rsidRPr="00CA5F6E">
              <w:rPr>
                <w:sz w:val="20"/>
              </w:rPr>
              <w:t>5,022</w:t>
            </w:r>
          </w:p>
        </w:tc>
        <w:tc>
          <w:tcPr>
            <w:tcW w:w="1106" w:type="dxa"/>
            <w:shd w:val="clear" w:color="000000" w:fill="FFFFFF"/>
            <w:noWrap/>
          </w:tcPr>
          <w:p w14:paraId="37450573" w14:textId="5BBC7E2B" w:rsidR="00CA5F6E" w:rsidRPr="00CA5F6E" w:rsidRDefault="00CA5F6E" w:rsidP="00CA5F6E">
            <w:pPr>
              <w:jc w:val="right"/>
              <w:rPr>
                <w:sz w:val="20"/>
              </w:rPr>
            </w:pPr>
            <w:r w:rsidRPr="00CA5F6E">
              <w:rPr>
                <w:sz w:val="20"/>
              </w:rPr>
              <w:t>0</w:t>
            </w:r>
          </w:p>
        </w:tc>
        <w:tc>
          <w:tcPr>
            <w:tcW w:w="1005" w:type="dxa"/>
            <w:shd w:val="clear" w:color="000000" w:fill="FFFFFF"/>
          </w:tcPr>
          <w:p w14:paraId="6DEECDF6" w14:textId="016160DF" w:rsidR="00CA5F6E" w:rsidRPr="00CA5F6E" w:rsidRDefault="00CA5F6E" w:rsidP="00CA5F6E">
            <w:pPr>
              <w:jc w:val="right"/>
              <w:rPr>
                <w:sz w:val="20"/>
              </w:rPr>
            </w:pPr>
            <w:r w:rsidRPr="00CA5F6E">
              <w:rPr>
                <w:sz w:val="20"/>
              </w:rPr>
              <w:t>0</w:t>
            </w:r>
          </w:p>
        </w:tc>
        <w:tc>
          <w:tcPr>
            <w:tcW w:w="1050" w:type="dxa"/>
            <w:shd w:val="clear" w:color="auto" w:fill="auto"/>
          </w:tcPr>
          <w:p w14:paraId="7D60579D" w14:textId="698F76C6" w:rsidR="00CA5F6E" w:rsidRPr="00CA5F6E" w:rsidRDefault="00CA5F6E" w:rsidP="00CA5F6E">
            <w:pPr>
              <w:jc w:val="right"/>
              <w:rPr>
                <w:sz w:val="20"/>
              </w:rPr>
            </w:pPr>
            <w:r w:rsidRPr="00CA5F6E">
              <w:rPr>
                <w:sz w:val="20"/>
              </w:rPr>
              <w:t>5,022</w:t>
            </w:r>
          </w:p>
        </w:tc>
        <w:tc>
          <w:tcPr>
            <w:tcW w:w="1050" w:type="dxa"/>
            <w:shd w:val="clear" w:color="auto" w:fill="auto"/>
          </w:tcPr>
          <w:p w14:paraId="740E2EF9" w14:textId="247EA044" w:rsidR="00CA5F6E" w:rsidRPr="00CA5F6E" w:rsidRDefault="00CA5F6E" w:rsidP="00CA5F6E">
            <w:pPr>
              <w:jc w:val="right"/>
              <w:rPr>
                <w:sz w:val="20"/>
              </w:rPr>
            </w:pPr>
            <w:r w:rsidRPr="00CA5F6E">
              <w:rPr>
                <w:sz w:val="20"/>
              </w:rPr>
              <w:t>-394</w:t>
            </w:r>
          </w:p>
        </w:tc>
        <w:tc>
          <w:tcPr>
            <w:tcW w:w="1050" w:type="dxa"/>
          </w:tcPr>
          <w:p w14:paraId="1495B2EA" w14:textId="5F0F849E" w:rsidR="00CA5F6E" w:rsidRPr="00CA5F6E" w:rsidRDefault="00CA5F6E" w:rsidP="00CA5F6E">
            <w:pPr>
              <w:jc w:val="right"/>
              <w:rPr>
                <w:sz w:val="20"/>
              </w:rPr>
            </w:pPr>
            <w:r w:rsidRPr="00CA5F6E">
              <w:rPr>
                <w:sz w:val="20"/>
              </w:rPr>
              <w:t>0</w:t>
            </w:r>
          </w:p>
        </w:tc>
        <w:tc>
          <w:tcPr>
            <w:tcW w:w="1206" w:type="dxa"/>
            <w:shd w:val="clear" w:color="000000" w:fill="F2F2F2"/>
          </w:tcPr>
          <w:p w14:paraId="5F2CF9EC" w14:textId="7A99BBB4" w:rsidR="00CA5F6E" w:rsidRPr="00CA5F6E" w:rsidRDefault="00CA5F6E" w:rsidP="00CA5F6E">
            <w:pPr>
              <w:jc w:val="right"/>
              <w:rPr>
                <w:sz w:val="20"/>
              </w:rPr>
            </w:pPr>
            <w:r w:rsidRPr="00CA5F6E">
              <w:rPr>
                <w:sz w:val="20"/>
              </w:rPr>
              <w:t>-394</w:t>
            </w:r>
          </w:p>
        </w:tc>
      </w:tr>
      <w:tr w:rsidR="00CA5F6E" w:rsidRPr="00CA5F6E" w14:paraId="47D711CF" w14:textId="77777777" w:rsidTr="00CA5F6E">
        <w:trPr>
          <w:trHeight w:hRule="exact" w:val="289"/>
        </w:trPr>
        <w:tc>
          <w:tcPr>
            <w:tcW w:w="2553" w:type="dxa"/>
            <w:gridSpan w:val="2"/>
            <w:shd w:val="clear" w:color="auto" w:fill="auto"/>
            <w:vAlign w:val="center"/>
          </w:tcPr>
          <w:p w14:paraId="00CFEEE1" w14:textId="168DD168" w:rsidR="00CA5F6E" w:rsidRPr="00CA5F6E" w:rsidRDefault="00CA5F6E" w:rsidP="00CA5F6E">
            <w:pPr>
              <w:rPr>
                <w:b/>
                <w:bCs/>
                <w:sz w:val="20"/>
              </w:rPr>
            </w:pPr>
            <w:r w:rsidRPr="00CA5F6E">
              <w:rPr>
                <w:rFonts w:cs="Arial"/>
                <w:b/>
                <w:bCs/>
                <w:color w:val="000000"/>
                <w:sz w:val="20"/>
              </w:rPr>
              <w:t>Adults Total</w:t>
            </w:r>
          </w:p>
        </w:tc>
        <w:tc>
          <w:tcPr>
            <w:tcW w:w="984" w:type="dxa"/>
          </w:tcPr>
          <w:p w14:paraId="57DA0894" w14:textId="4B96262D" w:rsidR="00CA5F6E" w:rsidRPr="00CA5F6E" w:rsidRDefault="00CA5F6E" w:rsidP="00CA5F6E">
            <w:pPr>
              <w:jc w:val="right"/>
              <w:rPr>
                <w:b/>
                <w:bCs/>
                <w:sz w:val="20"/>
              </w:rPr>
            </w:pPr>
            <w:r w:rsidRPr="00CA5F6E">
              <w:rPr>
                <w:b/>
                <w:bCs/>
                <w:sz w:val="20"/>
              </w:rPr>
              <w:t>67,319</w:t>
            </w:r>
          </w:p>
        </w:tc>
        <w:tc>
          <w:tcPr>
            <w:tcW w:w="1050" w:type="dxa"/>
            <w:shd w:val="clear" w:color="000000" w:fill="FFFFFF"/>
            <w:noWrap/>
          </w:tcPr>
          <w:p w14:paraId="440BD381" w14:textId="6A126A4F" w:rsidR="00CA5F6E" w:rsidRPr="00CA5F6E" w:rsidRDefault="00CA5F6E" w:rsidP="00CA5F6E">
            <w:pPr>
              <w:jc w:val="right"/>
              <w:rPr>
                <w:b/>
                <w:bCs/>
                <w:sz w:val="20"/>
              </w:rPr>
            </w:pPr>
            <w:r w:rsidRPr="00CA5F6E">
              <w:rPr>
                <w:b/>
                <w:bCs/>
                <w:sz w:val="20"/>
              </w:rPr>
              <w:t>69,379</w:t>
            </w:r>
          </w:p>
        </w:tc>
        <w:tc>
          <w:tcPr>
            <w:tcW w:w="1106" w:type="dxa"/>
            <w:shd w:val="clear" w:color="000000" w:fill="FFFFFF"/>
            <w:noWrap/>
          </w:tcPr>
          <w:p w14:paraId="14BDC453" w14:textId="1851B75F" w:rsidR="00CA5F6E" w:rsidRPr="00CA5F6E" w:rsidRDefault="00CA5F6E" w:rsidP="00CA5F6E">
            <w:pPr>
              <w:jc w:val="right"/>
              <w:rPr>
                <w:b/>
                <w:bCs/>
                <w:sz w:val="20"/>
              </w:rPr>
            </w:pPr>
            <w:r w:rsidRPr="00CA5F6E">
              <w:rPr>
                <w:b/>
                <w:bCs/>
                <w:sz w:val="20"/>
              </w:rPr>
              <w:t>-1,000</w:t>
            </w:r>
          </w:p>
        </w:tc>
        <w:tc>
          <w:tcPr>
            <w:tcW w:w="1005" w:type="dxa"/>
            <w:shd w:val="clear" w:color="000000" w:fill="FFFFFF"/>
          </w:tcPr>
          <w:p w14:paraId="4F215588" w14:textId="6943375F" w:rsidR="00CA5F6E" w:rsidRPr="00CA5F6E" w:rsidRDefault="00CA5F6E" w:rsidP="00CA5F6E">
            <w:pPr>
              <w:jc w:val="right"/>
              <w:rPr>
                <w:b/>
                <w:bCs/>
                <w:sz w:val="20"/>
              </w:rPr>
            </w:pPr>
            <w:r w:rsidRPr="00CA5F6E">
              <w:rPr>
                <w:b/>
                <w:bCs/>
                <w:sz w:val="20"/>
              </w:rPr>
              <w:t>-1,025</w:t>
            </w:r>
          </w:p>
        </w:tc>
        <w:tc>
          <w:tcPr>
            <w:tcW w:w="1050" w:type="dxa"/>
            <w:shd w:val="clear" w:color="auto" w:fill="auto"/>
          </w:tcPr>
          <w:p w14:paraId="4CDB10C8" w14:textId="4C5F0446" w:rsidR="00CA5F6E" w:rsidRPr="00CA5F6E" w:rsidRDefault="00CA5F6E" w:rsidP="00CA5F6E">
            <w:pPr>
              <w:jc w:val="right"/>
              <w:rPr>
                <w:b/>
                <w:bCs/>
                <w:sz w:val="20"/>
              </w:rPr>
            </w:pPr>
            <w:r w:rsidRPr="00CA5F6E">
              <w:rPr>
                <w:b/>
                <w:bCs/>
                <w:sz w:val="20"/>
              </w:rPr>
              <w:t>67,354</w:t>
            </w:r>
          </w:p>
        </w:tc>
        <w:tc>
          <w:tcPr>
            <w:tcW w:w="1050" w:type="dxa"/>
            <w:shd w:val="clear" w:color="auto" w:fill="auto"/>
          </w:tcPr>
          <w:p w14:paraId="0B1FA259" w14:textId="035758BE" w:rsidR="00CA5F6E" w:rsidRPr="00CA5F6E" w:rsidRDefault="00CA5F6E" w:rsidP="00CA5F6E">
            <w:pPr>
              <w:jc w:val="right"/>
              <w:rPr>
                <w:b/>
                <w:bCs/>
                <w:sz w:val="20"/>
              </w:rPr>
            </w:pPr>
            <w:r w:rsidRPr="00CA5F6E">
              <w:rPr>
                <w:b/>
                <w:bCs/>
                <w:sz w:val="20"/>
              </w:rPr>
              <w:t>35</w:t>
            </w:r>
          </w:p>
        </w:tc>
        <w:tc>
          <w:tcPr>
            <w:tcW w:w="1050" w:type="dxa"/>
          </w:tcPr>
          <w:p w14:paraId="11F6D505" w14:textId="56773336" w:rsidR="00CA5F6E" w:rsidRPr="00CA5F6E" w:rsidRDefault="00CA5F6E" w:rsidP="00CA5F6E">
            <w:pPr>
              <w:jc w:val="right"/>
              <w:rPr>
                <w:b/>
                <w:bCs/>
                <w:sz w:val="20"/>
              </w:rPr>
            </w:pPr>
            <w:r w:rsidRPr="00CA5F6E">
              <w:rPr>
                <w:b/>
                <w:bCs/>
                <w:sz w:val="20"/>
              </w:rPr>
              <w:t>0</w:t>
            </w:r>
          </w:p>
        </w:tc>
        <w:tc>
          <w:tcPr>
            <w:tcW w:w="1206" w:type="dxa"/>
            <w:shd w:val="clear" w:color="000000" w:fill="F2F2F2"/>
          </w:tcPr>
          <w:p w14:paraId="57A3F411" w14:textId="038BB2A5" w:rsidR="00CA5F6E" w:rsidRPr="00CA5F6E" w:rsidRDefault="00CA5F6E" w:rsidP="00CA5F6E">
            <w:pPr>
              <w:jc w:val="right"/>
              <w:rPr>
                <w:b/>
                <w:bCs/>
                <w:sz w:val="20"/>
              </w:rPr>
            </w:pPr>
            <w:r w:rsidRPr="00CA5F6E">
              <w:rPr>
                <w:b/>
                <w:bCs/>
                <w:sz w:val="20"/>
              </w:rPr>
              <w:t>35</w:t>
            </w:r>
          </w:p>
        </w:tc>
      </w:tr>
      <w:tr w:rsidR="00CA5F6E" w:rsidRPr="00CA5F6E" w14:paraId="46797874" w14:textId="77777777" w:rsidTr="00CA5F6E">
        <w:trPr>
          <w:trHeight w:hRule="exact" w:val="289"/>
        </w:trPr>
        <w:tc>
          <w:tcPr>
            <w:tcW w:w="2553" w:type="dxa"/>
            <w:gridSpan w:val="2"/>
            <w:shd w:val="clear" w:color="auto" w:fill="auto"/>
            <w:vAlign w:val="center"/>
          </w:tcPr>
          <w:p w14:paraId="374E4871" w14:textId="51C05CE3" w:rsidR="00CA5F6E" w:rsidRPr="00CA5F6E" w:rsidRDefault="00CA5F6E" w:rsidP="00CA5F6E">
            <w:pPr>
              <w:rPr>
                <w:b/>
                <w:bCs/>
                <w:sz w:val="20"/>
              </w:rPr>
            </w:pPr>
            <w:r w:rsidRPr="00CA5F6E">
              <w:rPr>
                <w:rFonts w:cs="Arial"/>
                <w:b/>
                <w:bCs/>
                <w:color w:val="000000"/>
                <w:sz w:val="20"/>
              </w:rPr>
              <w:t>Public Health Total</w:t>
            </w:r>
          </w:p>
          <w:p w14:paraId="150852B0" w14:textId="495E0763" w:rsidR="00CA5F6E" w:rsidRPr="00CA5F6E" w:rsidRDefault="00CA5F6E" w:rsidP="00CA5F6E">
            <w:pPr>
              <w:rPr>
                <w:b/>
                <w:bCs/>
                <w:sz w:val="20"/>
              </w:rPr>
            </w:pPr>
            <w:r w:rsidRPr="00CA5F6E">
              <w:rPr>
                <w:rFonts w:cs="Arial"/>
                <w:b/>
                <w:bCs/>
                <w:color w:val="000000"/>
                <w:sz w:val="20"/>
              </w:rPr>
              <w:t> </w:t>
            </w:r>
          </w:p>
        </w:tc>
        <w:tc>
          <w:tcPr>
            <w:tcW w:w="984" w:type="dxa"/>
          </w:tcPr>
          <w:p w14:paraId="12F1AB24" w14:textId="300B68BA" w:rsidR="00CA5F6E" w:rsidRPr="00CA5F6E" w:rsidRDefault="00CA5F6E" w:rsidP="00CA5F6E">
            <w:pPr>
              <w:jc w:val="right"/>
              <w:rPr>
                <w:rFonts w:cs="Arial"/>
                <w:b/>
                <w:bCs/>
                <w:sz w:val="20"/>
              </w:rPr>
            </w:pPr>
            <w:r>
              <w:rPr>
                <w:rFonts w:cs="Arial"/>
                <w:b/>
                <w:bCs/>
                <w:sz w:val="20"/>
              </w:rPr>
              <w:t>-163</w:t>
            </w:r>
          </w:p>
        </w:tc>
        <w:tc>
          <w:tcPr>
            <w:tcW w:w="1050" w:type="dxa"/>
            <w:shd w:val="clear" w:color="000000" w:fill="FFFFFF"/>
            <w:noWrap/>
          </w:tcPr>
          <w:p w14:paraId="7B58E9C6" w14:textId="426BCBC6" w:rsidR="00CA5F6E" w:rsidRPr="00CA5F6E" w:rsidRDefault="007C5E43" w:rsidP="00CA5F6E">
            <w:pPr>
              <w:jc w:val="right"/>
              <w:rPr>
                <w:b/>
                <w:bCs/>
                <w:sz w:val="20"/>
              </w:rPr>
            </w:pPr>
            <w:r>
              <w:rPr>
                <w:b/>
                <w:bCs/>
                <w:sz w:val="20"/>
              </w:rPr>
              <w:t>92</w:t>
            </w:r>
          </w:p>
        </w:tc>
        <w:tc>
          <w:tcPr>
            <w:tcW w:w="1106" w:type="dxa"/>
            <w:shd w:val="clear" w:color="000000" w:fill="FFFFFF"/>
            <w:noWrap/>
          </w:tcPr>
          <w:p w14:paraId="1D0D47D8" w14:textId="654093C0" w:rsidR="00CA5F6E" w:rsidRPr="00CA5F6E" w:rsidRDefault="00CA5F6E" w:rsidP="00CA5F6E">
            <w:pPr>
              <w:jc w:val="right"/>
              <w:rPr>
                <w:b/>
                <w:bCs/>
                <w:sz w:val="20"/>
              </w:rPr>
            </w:pPr>
            <w:r>
              <w:rPr>
                <w:b/>
                <w:bCs/>
                <w:sz w:val="20"/>
              </w:rPr>
              <w:t>-</w:t>
            </w:r>
            <w:r w:rsidR="007C5E43">
              <w:rPr>
                <w:b/>
                <w:bCs/>
                <w:sz w:val="20"/>
              </w:rPr>
              <w:t>255</w:t>
            </w:r>
          </w:p>
        </w:tc>
        <w:tc>
          <w:tcPr>
            <w:tcW w:w="1005" w:type="dxa"/>
            <w:shd w:val="clear" w:color="000000" w:fill="FFFFFF"/>
          </w:tcPr>
          <w:p w14:paraId="2189E723" w14:textId="34F40441" w:rsidR="00CA5F6E" w:rsidRPr="00CA5F6E" w:rsidRDefault="00CA5F6E" w:rsidP="00CA5F6E">
            <w:pPr>
              <w:jc w:val="right"/>
              <w:rPr>
                <w:b/>
                <w:bCs/>
                <w:sz w:val="20"/>
              </w:rPr>
            </w:pPr>
            <w:r>
              <w:rPr>
                <w:b/>
                <w:bCs/>
                <w:sz w:val="20"/>
              </w:rPr>
              <w:t>0</w:t>
            </w:r>
          </w:p>
        </w:tc>
        <w:tc>
          <w:tcPr>
            <w:tcW w:w="1050" w:type="dxa"/>
            <w:shd w:val="clear" w:color="000000" w:fill="FFFFFF"/>
          </w:tcPr>
          <w:p w14:paraId="4274EFFF" w14:textId="497C9806" w:rsidR="00CA5F6E" w:rsidRPr="00CA5F6E" w:rsidRDefault="00CA5F6E" w:rsidP="00CA5F6E">
            <w:pPr>
              <w:jc w:val="right"/>
              <w:rPr>
                <w:b/>
                <w:bCs/>
                <w:sz w:val="20"/>
              </w:rPr>
            </w:pPr>
            <w:r>
              <w:rPr>
                <w:b/>
                <w:bCs/>
                <w:sz w:val="20"/>
              </w:rPr>
              <w:t>-163</w:t>
            </w:r>
          </w:p>
        </w:tc>
        <w:tc>
          <w:tcPr>
            <w:tcW w:w="1050" w:type="dxa"/>
            <w:shd w:val="clear" w:color="auto" w:fill="auto"/>
          </w:tcPr>
          <w:p w14:paraId="1B27F204" w14:textId="11721FAA" w:rsidR="00CA5F6E" w:rsidRPr="00CA5F6E" w:rsidRDefault="00CA5F6E" w:rsidP="00CA5F6E">
            <w:pPr>
              <w:jc w:val="right"/>
              <w:rPr>
                <w:b/>
                <w:bCs/>
                <w:sz w:val="20"/>
              </w:rPr>
            </w:pPr>
            <w:r>
              <w:rPr>
                <w:b/>
                <w:bCs/>
                <w:sz w:val="20"/>
              </w:rPr>
              <w:t>0</w:t>
            </w:r>
          </w:p>
        </w:tc>
        <w:tc>
          <w:tcPr>
            <w:tcW w:w="1050" w:type="dxa"/>
          </w:tcPr>
          <w:p w14:paraId="2F297246" w14:textId="11223750" w:rsidR="00CA5F6E" w:rsidRPr="00CA5F6E" w:rsidRDefault="00CA5F6E" w:rsidP="00CA5F6E">
            <w:pPr>
              <w:jc w:val="right"/>
              <w:rPr>
                <w:b/>
                <w:bCs/>
                <w:sz w:val="20"/>
              </w:rPr>
            </w:pPr>
            <w:r w:rsidRPr="00CA5F6E">
              <w:rPr>
                <w:b/>
                <w:bCs/>
                <w:sz w:val="20"/>
              </w:rPr>
              <w:t>0</w:t>
            </w:r>
          </w:p>
        </w:tc>
        <w:tc>
          <w:tcPr>
            <w:tcW w:w="1206" w:type="dxa"/>
            <w:shd w:val="clear" w:color="000000" w:fill="F2F2F2"/>
          </w:tcPr>
          <w:p w14:paraId="667C37E7" w14:textId="602CB6B6" w:rsidR="00CA5F6E" w:rsidRPr="00CA5F6E" w:rsidRDefault="00CA5F6E" w:rsidP="00CA5F6E">
            <w:pPr>
              <w:jc w:val="right"/>
              <w:rPr>
                <w:b/>
                <w:bCs/>
                <w:sz w:val="20"/>
              </w:rPr>
            </w:pPr>
            <w:r w:rsidRPr="00CA5F6E">
              <w:rPr>
                <w:b/>
                <w:bCs/>
                <w:sz w:val="20"/>
              </w:rPr>
              <w:t>0</w:t>
            </w:r>
          </w:p>
        </w:tc>
      </w:tr>
      <w:tr w:rsidR="00CA5F6E" w:rsidRPr="00CA5F6E" w14:paraId="1CD0AE2E" w14:textId="77777777" w:rsidTr="00CA5F6E">
        <w:trPr>
          <w:trHeight w:hRule="exact" w:val="688"/>
        </w:trPr>
        <w:tc>
          <w:tcPr>
            <w:tcW w:w="1106" w:type="dxa"/>
            <w:vMerge w:val="restart"/>
            <w:shd w:val="clear" w:color="auto" w:fill="auto"/>
            <w:vAlign w:val="center"/>
          </w:tcPr>
          <w:p w14:paraId="77383BB5" w14:textId="77777777" w:rsidR="00CA5F6E" w:rsidRPr="00CA5F6E" w:rsidRDefault="00CA5F6E" w:rsidP="00CA5F6E">
            <w:pPr>
              <w:rPr>
                <w:sz w:val="20"/>
              </w:rPr>
            </w:pPr>
            <w:r w:rsidRPr="00CA5F6E">
              <w:rPr>
                <w:rFonts w:cs="Arial"/>
                <w:color w:val="000000"/>
                <w:sz w:val="20"/>
              </w:rPr>
              <w:t>Children’s Services</w:t>
            </w:r>
          </w:p>
          <w:p w14:paraId="43577CE6" w14:textId="77777777" w:rsidR="00CA5F6E" w:rsidRPr="00CA5F6E" w:rsidRDefault="00CA5F6E" w:rsidP="00CA5F6E">
            <w:pPr>
              <w:rPr>
                <w:sz w:val="20"/>
              </w:rPr>
            </w:pPr>
            <w:r w:rsidRPr="00CA5F6E">
              <w:rPr>
                <w:rFonts w:cs="Arial"/>
                <w:color w:val="000000"/>
                <w:sz w:val="20"/>
              </w:rPr>
              <w:t> </w:t>
            </w:r>
          </w:p>
          <w:p w14:paraId="6E681315" w14:textId="0E5F5DFF" w:rsidR="00CA5F6E" w:rsidRPr="00CA5F6E" w:rsidRDefault="00CA5F6E" w:rsidP="00CA5F6E">
            <w:pPr>
              <w:rPr>
                <w:sz w:val="20"/>
              </w:rPr>
            </w:pPr>
            <w:r w:rsidRPr="00CA5F6E">
              <w:rPr>
                <w:rFonts w:cs="Arial"/>
                <w:color w:val="000000"/>
                <w:sz w:val="20"/>
              </w:rPr>
              <w:t> </w:t>
            </w:r>
          </w:p>
        </w:tc>
        <w:tc>
          <w:tcPr>
            <w:tcW w:w="1447" w:type="dxa"/>
            <w:shd w:val="clear" w:color="auto" w:fill="auto"/>
            <w:noWrap/>
            <w:vAlign w:val="center"/>
          </w:tcPr>
          <w:p w14:paraId="29B0ECB0" w14:textId="274F5A7B" w:rsidR="00CA5F6E" w:rsidRPr="00CA5F6E" w:rsidRDefault="00CA5F6E" w:rsidP="00CA5F6E">
            <w:pPr>
              <w:rPr>
                <w:sz w:val="20"/>
              </w:rPr>
            </w:pPr>
            <w:r w:rsidRPr="00CA5F6E">
              <w:rPr>
                <w:rFonts w:cs="Arial"/>
                <w:color w:val="000000"/>
                <w:sz w:val="20"/>
              </w:rPr>
              <w:t>Children &amp; Young People Services</w:t>
            </w:r>
          </w:p>
        </w:tc>
        <w:tc>
          <w:tcPr>
            <w:tcW w:w="984" w:type="dxa"/>
          </w:tcPr>
          <w:p w14:paraId="00C18E92" w14:textId="042B8EAC" w:rsidR="00CA5F6E" w:rsidRPr="00CA5F6E" w:rsidRDefault="00CA5F6E" w:rsidP="00CA5F6E">
            <w:pPr>
              <w:jc w:val="right"/>
              <w:rPr>
                <w:sz w:val="20"/>
              </w:rPr>
            </w:pPr>
            <w:r w:rsidRPr="00CA5F6E">
              <w:rPr>
                <w:sz w:val="20"/>
              </w:rPr>
              <w:t>27,027</w:t>
            </w:r>
          </w:p>
        </w:tc>
        <w:tc>
          <w:tcPr>
            <w:tcW w:w="1050" w:type="dxa"/>
            <w:shd w:val="clear" w:color="000000" w:fill="FFFFFF"/>
            <w:noWrap/>
          </w:tcPr>
          <w:p w14:paraId="0374F0AF" w14:textId="160D0A32" w:rsidR="00CA5F6E" w:rsidRPr="00CA5F6E" w:rsidRDefault="00CA5F6E" w:rsidP="00CA5F6E">
            <w:pPr>
              <w:jc w:val="right"/>
              <w:rPr>
                <w:sz w:val="20"/>
              </w:rPr>
            </w:pPr>
            <w:r w:rsidRPr="00CA5F6E">
              <w:rPr>
                <w:sz w:val="20"/>
              </w:rPr>
              <w:t>31,386</w:t>
            </w:r>
          </w:p>
        </w:tc>
        <w:tc>
          <w:tcPr>
            <w:tcW w:w="1106" w:type="dxa"/>
            <w:shd w:val="clear" w:color="000000" w:fill="FFFFFF"/>
            <w:noWrap/>
          </w:tcPr>
          <w:p w14:paraId="38422DC2" w14:textId="0D4CCC00" w:rsidR="00CA5F6E" w:rsidRPr="00CA5F6E" w:rsidRDefault="00CA5F6E" w:rsidP="00CA5F6E">
            <w:pPr>
              <w:jc w:val="right"/>
              <w:rPr>
                <w:sz w:val="20"/>
              </w:rPr>
            </w:pPr>
            <w:r w:rsidRPr="00CA5F6E">
              <w:rPr>
                <w:sz w:val="20"/>
              </w:rPr>
              <w:t>-2,117</w:t>
            </w:r>
          </w:p>
        </w:tc>
        <w:tc>
          <w:tcPr>
            <w:tcW w:w="1005" w:type="dxa"/>
            <w:shd w:val="clear" w:color="000000" w:fill="FFFFFF"/>
          </w:tcPr>
          <w:p w14:paraId="5DE2508E" w14:textId="563AD971" w:rsidR="00CA5F6E" w:rsidRPr="00CA5F6E" w:rsidRDefault="00CA5F6E" w:rsidP="00CA5F6E">
            <w:pPr>
              <w:jc w:val="right"/>
              <w:rPr>
                <w:sz w:val="20"/>
              </w:rPr>
            </w:pPr>
            <w:r w:rsidRPr="00CA5F6E">
              <w:rPr>
                <w:sz w:val="20"/>
              </w:rPr>
              <w:t>-858</w:t>
            </w:r>
          </w:p>
        </w:tc>
        <w:tc>
          <w:tcPr>
            <w:tcW w:w="1050" w:type="dxa"/>
            <w:shd w:val="clear" w:color="000000" w:fill="FFFFFF"/>
          </w:tcPr>
          <w:p w14:paraId="4E3932B3" w14:textId="6DC9891E" w:rsidR="00CA5F6E" w:rsidRPr="00CA5F6E" w:rsidRDefault="00CA5F6E" w:rsidP="00CA5F6E">
            <w:pPr>
              <w:jc w:val="right"/>
              <w:rPr>
                <w:sz w:val="20"/>
              </w:rPr>
            </w:pPr>
            <w:r w:rsidRPr="00CA5F6E">
              <w:rPr>
                <w:sz w:val="20"/>
              </w:rPr>
              <w:t>28,411</w:t>
            </w:r>
          </w:p>
        </w:tc>
        <w:tc>
          <w:tcPr>
            <w:tcW w:w="1050" w:type="dxa"/>
            <w:shd w:val="clear" w:color="auto" w:fill="auto"/>
          </w:tcPr>
          <w:p w14:paraId="035AD213" w14:textId="3DA1AB74" w:rsidR="00CA5F6E" w:rsidRPr="00CA5F6E" w:rsidRDefault="00CA5F6E" w:rsidP="00CA5F6E">
            <w:pPr>
              <w:jc w:val="right"/>
              <w:rPr>
                <w:sz w:val="20"/>
              </w:rPr>
            </w:pPr>
            <w:r w:rsidRPr="00CA5F6E">
              <w:rPr>
                <w:sz w:val="20"/>
              </w:rPr>
              <w:t>1,384</w:t>
            </w:r>
          </w:p>
        </w:tc>
        <w:tc>
          <w:tcPr>
            <w:tcW w:w="1050" w:type="dxa"/>
          </w:tcPr>
          <w:p w14:paraId="15088A15" w14:textId="4294A998" w:rsidR="00CA5F6E" w:rsidRPr="00CA5F6E" w:rsidRDefault="00CA5F6E" w:rsidP="00CA5F6E">
            <w:pPr>
              <w:jc w:val="right"/>
              <w:rPr>
                <w:sz w:val="20"/>
              </w:rPr>
            </w:pPr>
            <w:r w:rsidRPr="00CA5F6E">
              <w:rPr>
                <w:sz w:val="20"/>
              </w:rPr>
              <w:t>1,320</w:t>
            </w:r>
          </w:p>
        </w:tc>
        <w:tc>
          <w:tcPr>
            <w:tcW w:w="1206" w:type="dxa"/>
            <w:shd w:val="clear" w:color="000000" w:fill="F2F2F2"/>
          </w:tcPr>
          <w:p w14:paraId="4E39DC99" w14:textId="5E674A80" w:rsidR="00CA5F6E" w:rsidRPr="00CA5F6E" w:rsidRDefault="00CA5F6E" w:rsidP="00CA5F6E">
            <w:pPr>
              <w:jc w:val="right"/>
              <w:rPr>
                <w:sz w:val="20"/>
              </w:rPr>
            </w:pPr>
            <w:r w:rsidRPr="00CA5F6E">
              <w:rPr>
                <w:sz w:val="20"/>
              </w:rPr>
              <w:t>64</w:t>
            </w:r>
          </w:p>
        </w:tc>
      </w:tr>
      <w:tr w:rsidR="00CA5F6E" w:rsidRPr="00CA5F6E" w14:paraId="4A0AEE07" w14:textId="77777777" w:rsidTr="00CA5F6E">
        <w:trPr>
          <w:trHeight w:hRule="exact" w:val="556"/>
        </w:trPr>
        <w:tc>
          <w:tcPr>
            <w:tcW w:w="1106" w:type="dxa"/>
            <w:vMerge/>
            <w:shd w:val="clear" w:color="auto" w:fill="auto"/>
            <w:vAlign w:val="center"/>
          </w:tcPr>
          <w:p w14:paraId="7C3DB9DD" w14:textId="5960F232" w:rsidR="00CA5F6E" w:rsidRPr="00CA5F6E" w:rsidRDefault="00CA5F6E" w:rsidP="00CA5F6E">
            <w:pPr>
              <w:rPr>
                <w:sz w:val="20"/>
              </w:rPr>
            </w:pPr>
          </w:p>
        </w:tc>
        <w:tc>
          <w:tcPr>
            <w:tcW w:w="1447" w:type="dxa"/>
            <w:shd w:val="clear" w:color="auto" w:fill="auto"/>
            <w:noWrap/>
            <w:vAlign w:val="center"/>
          </w:tcPr>
          <w:p w14:paraId="67105A74" w14:textId="2EE306ED" w:rsidR="00CA5F6E" w:rsidRPr="00CA5F6E" w:rsidRDefault="00CA5F6E" w:rsidP="00CA5F6E">
            <w:pPr>
              <w:rPr>
                <w:sz w:val="20"/>
              </w:rPr>
            </w:pPr>
            <w:r w:rsidRPr="00CA5F6E">
              <w:rPr>
                <w:rFonts w:cs="Arial"/>
                <w:color w:val="000000"/>
                <w:sz w:val="20"/>
              </w:rPr>
              <w:t>Education Services</w:t>
            </w:r>
          </w:p>
        </w:tc>
        <w:tc>
          <w:tcPr>
            <w:tcW w:w="984" w:type="dxa"/>
          </w:tcPr>
          <w:p w14:paraId="09F80A4D" w14:textId="5031800D" w:rsidR="00CA5F6E" w:rsidRPr="00CA5F6E" w:rsidRDefault="00CA5F6E" w:rsidP="00CA5F6E">
            <w:pPr>
              <w:jc w:val="right"/>
              <w:rPr>
                <w:sz w:val="20"/>
              </w:rPr>
            </w:pPr>
            <w:r w:rsidRPr="00CA5F6E">
              <w:rPr>
                <w:sz w:val="20"/>
              </w:rPr>
              <w:t>8,796</w:t>
            </w:r>
          </w:p>
        </w:tc>
        <w:tc>
          <w:tcPr>
            <w:tcW w:w="1050" w:type="dxa"/>
            <w:shd w:val="clear" w:color="000000" w:fill="FFFFFF"/>
            <w:noWrap/>
          </w:tcPr>
          <w:p w14:paraId="796B080D" w14:textId="227E9520" w:rsidR="00CA5F6E" w:rsidRPr="00CA5F6E" w:rsidRDefault="00CA5F6E" w:rsidP="00CA5F6E">
            <w:pPr>
              <w:jc w:val="right"/>
              <w:rPr>
                <w:sz w:val="20"/>
              </w:rPr>
            </w:pPr>
            <w:r w:rsidRPr="00CA5F6E">
              <w:rPr>
                <w:sz w:val="20"/>
              </w:rPr>
              <w:t>9,801</w:t>
            </w:r>
          </w:p>
        </w:tc>
        <w:tc>
          <w:tcPr>
            <w:tcW w:w="1106" w:type="dxa"/>
            <w:shd w:val="clear" w:color="000000" w:fill="FFFFFF"/>
            <w:noWrap/>
          </w:tcPr>
          <w:p w14:paraId="1A20DADA" w14:textId="42C2DC67" w:rsidR="00CA5F6E" w:rsidRPr="00CA5F6E" w:rsidRDefault="00CA5F6E" w:rsidP="00CA5F6E">
            <w:pPr>
              <w:jc w:val="right"/>
              <w:rPr>
                <w:sz w:val="20"/>
              </w:rPr>
            </w:pPr>
            <w:r w:rsidRPr="00CA5F6E">
              <w:rPr>
                <w:sz w:val="20"/>
              </w:rPr>
              <w:t>-732</w:t>
            </w:r>
          </w:p>
        </w:tc>
        <w:tc>
          <w:tcPr>
            <w:tcW w:w="1005" w:type="dxa"/>
            <w:shd w:val="clear" w:color="000000" w:fill="FFFFFF"/>
          </w:tcPr>
          <w:p w14:paraId="7978A80C" w14:textId="13DFE82B" w:rsidR="00CA5F6E" w:rsidRPr="00CA5F6E" w:rsidRDefault="00CA5F6E" w:rsidP="00CA5F6E">
            <w:pPr>
              <w:jc w:val="right"/>
              <w:rPr>
                <w:sz w:val="20"/>
              </w:rPr>
            </w:pPr>
            <w:r w:rsidRPr="00CA5F6E">
              <w:rPr>
                <w:sz w:val="20"/>
              </w:rPr>
              <w:t>0</w:t>
            </w:r>
          </w:p>
        </w:tc>
        <w:tc>
          <w:tcPr>
            <w:tcW w:w="1050" w:type="dxa"/>
            <w:shd w:val="clear" w:color="000000" w:fill="FFFFFF"/>
          </w:tcPr>
          <w:p w14:paraId="24D3BFCF" w14:textId="4958EC99" w:rsidR="00CA5F6E" w:rsidRPr="00CA5F6E" w:rsidRDefault="00CA5F6E" w:rsidP="00CA5F6E">
            <w:pPr>
              <w:jc w:val="right"/>
              <w:rPr>
                <w:sz w:val="20"/>
              </w:rPr>
            </w:pPr>
            <w:r w:rsidRPr="00CA5F6E">
              <w:rPr>
                <w:sz w:val="20"/>
              </w:rPr>
              <w:t>9,069</w:t>
            </w:r>
          </w:p>
        </w:tc>
        <w:tc>
          <w:tcPr>
            <w:tcW w:w="1050" w:type="dxa"/>
            <w:shd w:val="clear" w:color="auto" w:fill="auto"/>
          </w:tcPr>
          <w:p w14:paraId="6A722DF5" w14:textId="19B900A1" w:rsidR="00CA5F6E" w:rsidRPr="00CA5F6E" w:rsidRDefault="00CA5F6E" w:rsidP="00CA5F6E">
            <w:pPr>
              <w:jc w:val="right"/>
              <w:rPr>
                <w:sz w:val="20"/>
              </w:rPr>
            </w:pPr>
            <w:r w:rsidRPr="00CA5F6E">
              <w:rPr>
                <w:sz w:val="20"/>
              </w:rPr>
              <w:t>273</w:t>
            </w:r>
          </w:p>
        </w:tc>
        <w:tc>
          <w:tcPr>
            <w:tcW w:w="1050" w:type="dxa"/>
          </w:tcPr>
          <w:p w14:paraId="129EE0F9" w14:textId="39EB50F3" w:rsidR="00CA5F6E" w:rsidRPr="00CA5F6E" w:rsidRDefault="00CA5F6E" w:rsidP="00CA5F6E">
            <w:pPr>
              <w:jc w:val="right"/>
              <w:rPr>
                <w:sz w:val="20"/>
              </w:rPr>
            </w:pPr>
            <w:r w:rsidRPr="00CA5F6E">
              <w:rPr>
                <w:sz w:val="20"/>
              </w:rPr>
              <w:t>130</w:t>
            </w:r>
          </w:p>
        </w:tc>
        <w:tc>
          <w:tcPr>
            <w:tcW w:w="1206" w:type="dxa"/>
            <w:shd w:val="clear" w:color="000000" w:fill="F2F2F2"/>
          </w:tcPr>
          <w:p w14:paraId="3959EDF7" w14:textId="2F459B8E" w:rsidR="00CA5F6E" w:rsidRPr="00CA5F6E" w:rsidRDefault="00CA5F6E" w:rsidP="00CA5F6E">
            <w:pPr>
              <w:jc w:val="right"/>
              <w:rPr>
                <w:sz w:val="20"/>
              </w:rPr>
            </w:pPr>
            <w:r w:rsidRPr="00CA5F6E">
              <w:rPr>
                <w:sz w:val="20"/>
              </w:rPr>
              <w:t>143</w:t>
            </w:r>
          </w:p>
        </w:tc>
      </w:tr>
      <w:tr w:rsidR="00CA5F6E" w:rsidRPr="00CA5F6E" w14:paraId="6FAFA5C2" w14:textId="77777777" w:rsidTr="0080568B">
        <w:trPr>
          <w:trHeight w:hRule="exact" w:val="577"/>
        </w:trPr>
        <w:tc>
          <w:tcPr>
            <w:tcW w:w="1106" w:type="dxa"/>
            <w:vMerge/>
            <w:shd w:val="clear" w:color="auto" w:fill="auto"/>
            <w:vAlign w:val="center"/>
          </w:tcPr>
          <w:p w14:paraId="2CEDC3C4" w14:textId="5DA4336F" w:rsidR="00CA5F6E" w:rsidRPr="00CA5F6E" w:rsidRDefault="00CA5F6E" w:rsidP="00CA5F6E">
            <w:pPr>
              <w:rPr>
                <w:sz w:val="20"/>
              </w:rPr>
            </w:pPr>
          </w:p>
        </w:tc>
        <w:tc>
          <w:tcPr>
            <w:tcW w:w="1447" w:type="dxa"/>
            <w:shd w:val="clear" w:color="auto" w:fill="auto"/>
            <w:noWrap/>
            <w:vAlign w:val="center"/>
          </w:tcPr>
          <w:p w14:paraId="387BFA2A" w14:textId="6B13E3C6" w:rsidR="00CA5F6E" w:rsidRPr="00CA5F6E" w:rsidRDefault="00CA5F6E" w:rsidP="00CA5F6E">
            <w:pPr>
              <w:rPr>
                <w:sz w:val="20"/>
              </w:rPr>
            </w:pPr>
            <w:r w:rsidRPr="00CA5F6E">
              <w:rPr>
                <w:rFonts w:cs="Arial"/>
                <w:color w:val="000000"/>
                <w:sz w:val="20"/>
              </w:rPr>
              <w:t>People Services Mgt</w:t>
            </w:r>
          </w:p>
        </w:tc>
        <w:tc>
          <w:tcPr>
            <w:tcW w:w="984" w:type="dxa"/>
            <w:vAlign w:val="center"/>
          </w:tcPr>
          <w:p w14:paraId="747F677F" w14:textId="5D5FDCF0" w:rsidR="00CA5F6E" w:rsidRPr="00CA5F6E" w:rsidRDefault="00CA5F6E" w:rsidP="00CA5F6E">
            <w:pPr>
              <w:jc w:val="right"/>
              <w:rPr>
                <w:sz w:val="20"/>
              </w:rPr>
            </w:pPr>
            <w:r w:rsidRPr="00CA5F6E">
              <w:rPr>
                <w:rFonts w:cs="Arial"/>
                <w:color w:val="000000"/>
                <w:sz w:val="20"/>
              </w:rPr>
              <w:t>1373</w:t>
            </w:r>
          </w:p>
        </w:tc>
        <w:tc>
          <w:tcPr>
            <w:tcW w:w="1050" w:type="dxa"/>
            <w:shd w:val="clear" w:color="000000" w:fill="FFFFFF"/>
            <w:noWrap/>
            <w:vAlign w:val="center"/>
          </w:tcPr>
          <w:p w14:paraId="0738ED6F" w14:textId="756E1C7A" w:rsidR="00CA5F6E" w:rsidRPr="00CA5F6E" w:rsidRDefault="00CA5F6E" w:rsidP="00CA5F6E">
            <w:pPr>
              <w:jc w:val="right"/>
              <w:rPr>
                <w:sz w:val="20"/>
              </w:rPr>
            </w:pPr>
            <w:r w:rsidRPr="00CA5F6E">
              <w:rPr>
                <w:rFonts w:cs="Arial"/>
                <w:color w:val="000000"/>
                <w:sz w:val="20"/>
              </w:rPr>
              <w:t>1593</w:t>
            </w:r>
          </w:p>
        </w:tc>
        <w:tc>
          <w:tcPr>
            <w:tcW w:w="1106" w:type="dxa"/>
            <w:shd w:val="clear" w:color="000000" w:fill="FFFFFF"/>
            <w:noWrap/>
            <w:vAlign w:val="center"/>
          </w:tcPr>
          <w:p w14:paraId="2DF97C70" w14:textId="7CB86590" w:rsidR="00CA5F6E" w:rsidRPr="00CA5F6E" w:rsidRDefault="00CA5F6E" w:rsidP="00CA5F6E">
            <w:pPr>
              <w:jc w:val="right"/>
              <w:rPr>
                <w:sz w:val="20"/>
              </w:rPr>
            </w:pPr>
            <w:r w:rsidRPr="00CA5F6E">
              <w:rPr>
                <w:rFonts w:cs="Arial"/>
                <w:color w:val="000000"/>
                <w:sz w:val="20"/>
              </w:rPr>
              <w:t>-31</w:t>
            </w:r>
          </w:p>
        </w:tc>
        <w:tc>
          <w:tcPr>
            <w:tcW w:w="1005" w:type="dxa"/>
            <w:shd w:val="clear" w:color="000000" w:fill="FFFFFF"/>
            <w:vAlign w:val="center"/>
          </w:tcPr>
          <w:p w14:paraId="5727A89B" w14:textId="0314C9E0" w:rsidR="00CA5F6E" w:rsidRPr="00CA5F6E" w:rsidRDefault="00CA5F6E" w:rsidP="00CA5F6E">
            <w:pPr>
              <w:jc w:val="right"/>
              <w:rPr>
                <w:sz w:val="20"/>
              </w:rPr>
            </w:pPr>
            <w:r w:rsidRPr="00CA5F6E">
              <w:rPr>
                <w:rFonts w:cs="Arial"/>
                <w:color w:val="000000"/>
                <w:sz w:val="20"/>
              </w:rPr>
              <w:t>0</w:t>
            </w:r>
          </w:p>
        </w:tc>
        <w:tc>
          <w:tcPr>
            <w:tcW w:w="1050" w:type="dxa"/>
            <w:shd w:val="clear" w:color="000000" w:fill="FFFFFF"/>
            <w:vAlign w:val="center"/>
          </w:tcPr>
          <w:p w14:paraId="277C2CEF" w14:textId="117DBC62" w:rsidR="00CA5F6E" w:rsidRPr="00CA5F6E" w:rsidRDefault="00CA5F6E" w:rsidP="00CA5F6E">
            <w:pPr>
              <w:jc w:val="right"/>
              <w:rPr>
                <w:sz w:val="20"/>
              </w:rPr>
            </w:pPr>
            <w:r w:rsidRPr="00CA5F6E">
              <w:rPr>
                <w:rFonts w:cs="Arial"/>
                <w:color w:val="000000"/>
                <w:sz w:val="20"/>
              </w:rPr>
              <w:t>1562</w:t>
            </w:r>
          </w:p>
        </w:tc>
        <w:tc>
          <w:tcPr>
            <w:tcW w:w="1050" w:type="dxa"/>
            <w:shd w:val="clear" w:color="auto" w:fill="auto"/>
            <w:vAlign w:val="center"/>
          </w:tcPr>
          <w:p w14:paraId="61D49281" w14:textId="5BBA3B96" w:rsidR="00CA5F6E" w:rsidRPr="00CA5F6E" w:rsidRDefault="00CA5F6E" w:rsidP="00CA5F6E">
            <w:pPr>
              <w:jc w:val="right"/>
              <w:rPr>
                <w:sz w:val="20"/>
              </w:rPr>
            </w:pPr>
            <w:r w:rsidRPr="00CA5F6E">
              <w:rPr>
                <w:rFonts w:cs="Arial"/>
                <w:color w:val="000000"/>
                <w:sz w:val="20"/>
              </w:rPr>
              <w:t>189</w:t>
            </w:r>
          </w:p>
        </w:tc>
        <w:tc>
          <w:tcPr>
            <w:tcW w:w="1050" w:type="dxa"/>
            <w:vAlign w:val="center"/>
          </w:tcPr>
          <w:p w14:paraId="75611D2C" w14:textId="3FE60641" w:rsidR="00CA5F6E" w:rsidRPr="00CA5F6E" w:rsidRDefault="00CA5F6E" w:rsidP="00CA5F6E">
            <w:pPr>
              <w:jc w:val="right"/>
              <w:rPr>
                <w:sz w:val="20"/>
              </w:rPr>
            </w:pPr>
            <w:r w:rsidRPr="00CA5F6E">
              <w:rPr>
                <w:rFonts w:cs="Arial"/>
                <w:color w:val="000000"/>
                <w:sz w:val="20"/>
              </w:rPr>
              <w:t>188</w:t>
            </w:r>
          </w:p>
        </w:tc>
        <w:tc>
          <w:tcPr>
            <w:tcW w:w="1206" w:type="dxa"/>
            <w:shd w:val="clear" w:color="000000" w:fill="F2F2F2"/>
            <w:vAlign w:val="center"/>
          </w:tcPr>
          <w:p w14:paraId="33055C38" w14:textId="44BA4554" w:rsidR="00CA5F6E" w:rsidRPr="00CA5F6E" w:rsidRDefault="00CA5F6E" w:rsidP="00CA5F6E">
            <w:pPr>
              <w:jc w:val="right"/>
              <w:rPr>
                <w:sz w:val="20"/>
              </w:rPr>
            </w:pPr>
            <w:r w:rsidRPr="00CA5F6E">
              <w:rPr>
                <w:rFonts w:cs="Arial"/>
                <w:color w:val="000000"/>
                <w:sz w:val="20"/>
              </w:rPr>
              <w:t>1</w:t>
            </w:r>
          </w:p>
        </w:tc>
      </w:tr>
      <w:tr w:rsidR="00CA5F6E" w:rsidRPr="00CA5F6E" w14:paraId="585BAD32" w14:textId="77777777" w:rsidTr="005D6DA7">
        <w:trPr>
          <w:trHeight w:hRule="exact" w:val="289"/>
        </w:trPr>
        <w:tc>
          <w:tcPr>
            <w:tcW w:w="2553" w:type="dxa"/>
            <w:gridSpan w:val="2"/>
            <w:shd w:val="clear" w:color="auto" w:fill="auto"/>
            <w:vAlign w:val="center"/>
          </w:tcPr>
          <w:p w14:paraId="7595694F" w14:textId="43313DFC" w:rsidR="00CA5F6E" w:rsidRPr="00CA5F6E" w:rsidRDefault="00CA5F6E" w:rsidP="00CA5F6E">
            <w:pPr>
              <w:rPr>
                <w:b/>
                <w:bCs/>
                <w:sz w:val="20"/>
              </w:rPr>
            </w:pPr>
            <w:r w:rsidRPr="00CA5F6E">
              <w:rPr>
                <w:rFonts w:cs="Arial"/>
                <w:b/>
                <w:bCs/>
                <w:color w:val="000000"/>
                <w:sz w:val="20"/>
              </w:rPr>
              <w:t>Children's Services Total</w:t>
            </w:r>
          </w:p>
        </w:tc>
        <w:tc>
          <w:tcPr>
            <w:tcW w:w="984" w:type="dxa"/>
            <w:vAlign w:val="center"/>
          </w:tcPr>
          <w:p w14:paraId="13385DE9" w14:textId="5EE294B5" w:rsidR="00CA5F6E" w:rsidRPr="00CA5F6E" w:rsidRDefault="00CA5F6E" w:rsidP="00CA5F6E">
            <w:pPr>
              <w:jc w:val="right"/>
              <w:rPr>
                <w:b/>
                <w:bCs/>
                <w:sz w:val="20"/>
              </w:rPr>
            </w:pPr>
            <w:r w:rsidRPr="00CA5F6E">
              <w:rPr>
                <w:rFonts w:cs="Arial"/>
                <w:b/>
                <w:bCs/>
                <w:color w:val="000000"/>
                <w:sz w:val="20"/>
              </w:rPr>
              <w:t>37,196</w:t>
            </w:r>
          </w:p>
        </w:tc>
        <w:tc>
          <w:tcPr>
            <w:tcW w:w="1050" w:type="dxa"/>
            <w:shd w:val="clear" w:color="000000" w:fill="FFFFFF"/>
            <w:noWrap/>
            <w:vAlign w:val="center"/>
          </w:tcPr>
          <w:p w14:paraId="7FF5F42E" w14:textId="1ED41356" w:rsidR="00CA5F6E" w:rsidRPr="00CA5F6E" w:rsidRDefault="00CA5F6E" w:rsidP="00CA5F6E">
            <w:pPr>
              <w:jc w:val="right"/>
              <w:rPr>
                <w:b/>
                <w:bCs/>
                <w:sz w:val="20"/>
              </w:rPr>
            </w:pPr>
            <w:r w:rsidRPr="00CA5F6E">
              <w:rPr>
                <w:rFonts w:cs="Arial"/>
                <w:b/>
                <w:bCs/>
                <w:color w:val="000000"/>
                <w:sz w:val="20"/>
              </w:rPr>
              <w:t>42,780</w:t>
            </w:r>
          </w:p>
        </w:tc>
        <w:tc>
          <w:tcPr>
            <w:tcW w:w="1106" w:type="dxa"/>
            <w:shd w:val="clear" w:color="000000" w:fill="FFFFFF"/>
            <w:noWrap/>
            <w:vAlign w:val="center"/>
          </w:tcPr>
          <w:p w14:paraId="19A58BEA" w14:textId="35137891" w:rsidR="00CA5F6E" w:rsidRPr="00CA5F6E" w:rsidRDefault="00CA5F6E" w:rsidP="00CA5F6E">
            <w:pPr>
              <w:jc w:val="right"/>
              <w:rPr>
                <w:b/>
                <w:bCs/>
                <w:sz w:val="20"/>
              </w:rPr>
            </w:pPr>
            <w:r w:rsidRPr="00CA5F6E">
              <w:rPr>
                <w:rFonts w:cs="Arial"/>
                <w:b/>
                <w:bCs/>
                <w:color w:val="000000"/>
                <w:sz w:val="20"/>
              </w:rPr>
              <w:t>-2,880</w:t>
            </w:r>
          </w:p>
        </w:tc>
        <w:tc>
          <w:tcPr>
            <w:tcW w:w="1005" w:type="dxa"/>
            <w:shd w:val="clear" w:color="000000" w:fill="FFFFFF"/>
            <w:vAlign w:val="center"/>
          </w:tcPr>
          <w:p w14:paraId="7EF54594" w14:textId="2A28310B" w:rsidR="00CA5F6E" w:rsidRPr="00CA5F6E" w:rsidRDefault="00CA5F6E" w:rsidP="00CA5F6E">
            <w:pPr>
              <w:jc w:val="right"/>
              <w:rPr>
                <w:b/>
                <w:bCs/>
                <w:sz w:val="20"/>
              </w:rPr>
            </w:pPr>
            <w:r w:rsidRPr="00CA5F6E">
              <w:rPr>
                <w:rFonts w:cs="Arial"/>
                <w:b/>
                <w:bCs/>
                <w:color w:val="000000"/>
                <w:sz w:val="20"/>
              </w:rPr>
              <w:t>-858</w:t>
            </w:r>
          </w:p>
        </w:tc>
        <w:tc>
          <w:tcPr>
            <w:tcW w:w="1050" w:type="dxa"/>
            <w:shd w:val="clear" w:color="000000" w:fill="FFFFFF"/>
            <w:vAlign w:val="center"/>
          </w:tcPr>
          <w:p w14:paraId="227B3A1A" w14:textId="69A7CF31" w:rsidR="00CA5F6E" w:rsidRPr="00CA5F6E" w:rsidRDefault="00CA5F6E" w:rsidP="00CA5F6E">
            <w:pPr>
              <w:jc w:val="right"/>
              <w:rPr>
                <w:b/>
                <w:bCs/>
                <w:sz w:val="20"/>
              </w:rPr>
            </w:pPr>
            <w:r w:rsidRPr="00CA5F6E">
              <w:rPr>
                <w:rFonts w:cs="Arial"/>
                <w:b/>
                <w:bCs/>
                <w:color w:val="000000"/>
                <w:sz w:val="20"/>
              </w:rPr>
              <w:t>39,042</w:t>
            </w:r>
          </w:p>
        </w:tc>
        <w:tc>
          <w:tcPr>
            <w:tcW w:w="1050" w:type="dxa"/>
            <w:shd w:val="clear" w:color="000000" w:fill="FFFFFF"/>
            <w:vAlign w:val="center"/>
          </w:tcPr>
          <w:p w14:paraId="6C70AA52" w14:textId="3ADFB30B" w:rsidR="00CA5F6E" w:rsidRPr="00CA5F6E" w:rsidRDefault="00CA5F6E" w:rsidP="00CA5F6E">
            <w:pPr>
              <w:jc w:val="right"/>
              <w:rPr>
                <w:b/>
                <w:bCs/>
                <w:sz w:val="20"/>
              </w:rPr>
            </w:pPr>
            <w:r w:rsidRPr="00CA5F6E">
              <w:rPr>
                <w:rFonts w:cs="Arial"/>
                <w:b/>
                <w:bCs/>
                <w:color w:val="000000"/>
                <w:sz w:val="20"/>
              </w:rPr>
              <w:t>1,847</w:t>
            </w:r>
          </w:p>
        </w:tc>
        <w:tc>
          <w:tcPr>
            <w:tcW w:w="1050" w:type="dxa"/>
            <w:shd w:val="clear" w:color="000000" w:fill="FFFFFF"/>
            <w:vAlign w:val="center"/>
          </w:tcPr>
          <w:p w14:paraId="5557639E" w14:textId="031E5C8A" w:rsidR="00CA5F6E" w:rsidRPr="00CA5F6E" w:rsidRDefault="00CA5F6E" w:rsidP="00CA5F6E">
            <w:pPr>
              <w:jc w:val="right"/>
              <w:rPr>
                <w:b/>
                <w:bCs/>
                <w:sz w:val="20"/>
              </w:rPr>
            </w:pPr>
            <w:r w:rsidRPr="00CA5F6E">
              <w:rPr>
                <w:rFonts w:cs="Arial"/>
                <w:b/>
                <w:bCs/>
                <w:color w:val="000000"/>
                <w:sz w:val="20"/>
              </w:rPr>
              <w:t>1,638</w:t>
            </w:r>
          </w:p>
        </w:tc>
        <w:tc>
          <w:tcPr>
            <w:tcW w:w="1206" w:type="dxa"/>
            <w:shd w:val="clear" w:color="000000" w:fill="FFFFFF"/>
            <w:vAlign w:val="center"/>
          </w:tcPr>
          <w:p w14:paraId="3942F271" w14:textId="6CBA1C58" w:rsidR="00CA5F6E" w:rsidRPr="00CA5F6E" w:rsidRDefault="00CA5F6E" w:rsidP="00CA5F6E">
            <w:pPr>
              <w:jc w:val="right"/>
              <w:rPr>
                <w:b/>
                <w:bCs/>
                <w:sz w:val="20"/>
              </w:rPr>
            </w:pPr>
            <w:r w:rsidRPr="00CA5F6E">
              <w:rPr>
                <w:rFonts w:cs="Arial"/>
                <w:b/>
                <w:bCs/>
                <w:color w:val="000000"/>
                <w:sz w:val="20"/>
              </w:rPr>
              <w:t>208</w:t>
            </w:r>
          </w:p>
        </w:tc>
      </w:tr>
      <w:tr w:rsidR="00CA5F6E" w:rsidRPr="00CA5F6E" w14:paraId="0D0BAEA1" w14:textId="79D66182" w:rsidTr="00CA5F6E">
        <w:trPr>
          <w:trHeight w:hRule="exact" w:val="289"/>
        </w:trPr>
        <w:tc>
          <w:tcPr>
            <w:tcW w:w="2553" w:type="dxa"/>
            <w:gridSpan w:val="2"/>
            <w:shd w:val="clear" w:color="auto" w:fill="auto"/>
            <w:vAlign w:val="center"/>
          </w:tcPr>
          <w:p w14:paraId="1DD03B9B" w14:textId="77777777" w:rsidR="00CA5F6E" w:rsidRPr="00CA5F6E" w:rsidRDefault="00CA5F6E" w:rsidP="00CA5F6E">
            <w:pPr>
              <w:rPr>
                <w:rFonts w:cs="Arial"/>
                <w:b/>
                <w:bCs/>
                <w:sz w:val="20"/>
                <w:lang w:eastAsia="en-GB"/>
              </w:rPr>
            </w:pPr>
            <w:r w:rsidRPr="00CA5F6E">
              <w:rPr>
                <w:rFonts w:cs="Arial"/>
                <w:b/>
                <w:bCs/>
                <w:color w:val="000000"/>
                <w:sz w:val="20"/>
              </w:rPr>
              <w:t>People Services Total</w:t>
            </w:r>
          </w:p>
          <w:p w14:paraId="75E54D8D" w14:textId="53DE9A3F" w:rsidR="00CA5F6E" w:rsidRPr="00CA5F6E" w:rsidRDefault="00CA5F6E" w:rsidP="00CA5F6E">
            <w:pPr>
              <w:rPr>
                <w:rFonts w:cs="Arial"/>
                <w:b/>
                <w:bCs/>
                <w:sz w:val="20"/>
                <w:lang w:eastAsia="en-GB"/>
              </w:rPr>
            </w:pPr>
            <w:r w:rsidRPr="00CA5F6E">
              <w:rPr>
                <w:rFonts w:cs="Arial"/>
                <w:b/>
                <w:bCs/>
                <w:color w:val="000000"/>
                <w:sz w:val="20"/>
              </w:rPr>
              <w:t> </w:t>
            </w:r>
          </w:p>
        </w:tc>
        <w:tc>
          <w:tcPr>
            <w:tcW w:w="984" w:type="dxa"/>
          </w:tcPr>
          <w:p w14:paraId="2614A6E8" w14:textId="3A47BFD5" w:rsidR="00CA5F6E" w:rsidRPr="00CA5F6E" w:rsidRDefault="00CA5F6E" w:rsidP="00CA5F6E">
            <w:pPr>
              <w:jc w:val="right"/>
              <w:rPr>
                <w:b/>
                <w:bCs/>
                <w:sz w:val="20"/>
              </w:rPr>
            </w:pPr>
            <w:r w:rsidRPr="00CA5F6E">
              <w:rPr>
                <w:b/>
                <w:bCs/>
                <w:sz w:val="20"/>
              </w:rPr>
              <w:t>104,352</w:t>
            </w:r>
          </w:p>
        </w:tc>
        <w:tc>
          <w:tcPr>
            <w:tcW w:w="1050" w:type="dxa"/>
            <w:shd w:val="clear" w:color="auto" w:fill="auto"/>
            <w:noWrap/>
          </w:tcPr>
          <w:p w14:paraId="78DD067E" w14:textId="675A1BDC" w:rsidR="00CA5F6E" w:rsidRPr="00CA5F6E" w:rsidRDefault="00CA5F6E" w:rsidP="00CA5F6E">
            <w:pPr>
              <w:jc w:val="right"/>
              <w:rPr>
                <w:rFonts w:cs="Arial"/>
                <w:b/>
                <w:bCs/>
                <w:sz w:val="20"/>
                <w:lang w:eastAsia="en-GB"/>
              </w:rPr>
            </w:pPr>
            <w:r w:rsidRPr="00CA5F6E">
              <w:rPr>
                <w:b/>
                <w:bCs/>
                <w:sz w:val="20"/>
              </w:rPr>
              <w:t>112,</w:t>
            </w:r>
            <w:r w:rsidR="007C5E43">
              <w:rPr>
                <w:b/>
                <w:bCs/>
                <w:sz w:val="20"/>
              </w:rPr>
              <w:t>252</w:t>
            </w:r>
          </w:p>
        </w:tc>
        <w:tc>
          <w:tcPr>
            <w:tcW w:w="1106" w:type="dxa"/>
            <w:shd w:val="clear" w:color="auto" w:fill="auto"/>
            <w:noWrap/>
          </w:tcPr>
          <w:p w14:paraId="524EFBBF" w14:textId="5234F025" w:rsidR="00CA5F6E" w:rsidRPr="00CA5F6E" w:rsidRDefault="00CA5F6E" w:rsidP="00CA5F6E">
            <w:pPr>
              <w:jc w:val="right"/>
              <w:rPr>
                <w:rFonts w:cs="Arial"/>
                <w:b/>
                <w:bCs/>
                <w:sz w:val="20"/>
                <w:lang w:eastAsia="en-GB"/>
              </w:rPr>
            </w:pPr>
            <w:r w:rsidRPr="00CA5F6E">
              <w:rPr>
                <w:b/>
                <w:bCs/>
                <w:sz w:val="20"/>
              </w:rPr>
              <w:t>-4,</w:t>
            </w:r>
            <w:r w:rsidR="007C5E43">
              <w:rPr>
                <w:b/>
                <w:bCs/>
                <w:sz w:val="20"/>
              </w:rPr>
              <w:t>135</w:t>
            </w:r>
          </w:p>
        </w:tc>
        <w:tc>
          <w:tcPr>
            <w:tcW w:w="1005" w:type="dxa"/>
            <w:shd w:val="clear" w:color="auto" w:fill="auto"/>
          </w:tcPr>
          <w:p w14:paraId="3B1C9E7C" w14:textId="323CFF69" w:rsidR="00CA5F6E" w:rsidRPr="00CA5F6E" w:rsidRDefault="00CA5F6E" w:rsidP="00CA5F6E">
            <w:pPr>
              <w:jc w:val="right"/>
              <w:rPr>
                <w:rFonts w:cs="Arial"/>
                <w:b/>
                <w:bCs/>
                <w:sz w:val="20"/>
                <w:lang w:eastAsia="en-GB"/>
              </w:rPr>
            </w:pPr>
            <w:r w:rsidRPr="00CA5F6E">
              <w:rPr>
                <w:b/>
                <w:bCs/>
                <w:sz w:val="20"/>
              </w:rPr>
              <w:t>-1,883</w:t>
            </w:r>
          </w:p>
        </w:tc>
        <w:tc>
          <w:tcPr>
            <w:tcW w:w="1050" w:type="dxa"/>
            <w:shd w:val="clear" w:color="auto" w:fill="auto"/>
          </w:tcPr>
          <w:p w14:paraId="53F8DB8E" w14:textId="216C32CA" w:rsidR="00CA5F6E" w:rsidRPr="00CA5F6E" w:rsidRDefault="00CA5F6E" w:rsidP="00CA5F6E">
            <w:pPr>
              <w:jc w:val="right"/>
              <w:rPr>
                <w:rFonts w:cs="Arial"/>
                <w:b/>
                <w:bCs/>
                <w:sz w:val="20"/>
                <w:lang w:eastAsia="en-GB"/>
              </w:rPr>
            </w:pPr>
            <w:r w:rsidRPr="00CA5F6E">
              <w:rPr>
                <w:rFonts w:cs="Arial"/>
                <w:b/>
                <w:bCs/>
                <w:sz w:val="20"/>
              </w:rPr>
              <w:t>106,234</w:t>
            </w:r>
          </w:p>
        </w:tc>
        <w:tc>
          <w:tcPr>
            <w:tcW w:w="1050" w:type="dxa"/>
            <w:shd w:val="clear" w:color="auto" w:fill="auto"/>
          </w:tcPr>
          <w:p w14:paraId="29D03243" w14:textId="5668EC43" w:rsidR="00CA5F6E" w:rsidRPr="00CA5F6E" w:rsidRDefault="00CA5F6E" w:rsidP="00CA5F6E">
            <w:pPr>
              <w:jc w:val="right"/>
              <w:rPr>
                <w:rFonts w:cs="Arial"/>
                <w:b/>
                <w:bCs/>
                <w:sz w:val="20"/>
              </w:rPr>
            </w:pPr>
            <w:r w:rsidRPr="00CA5F6E">
              <w:rPr>
                <w:b/>
                <w:bCs/>
                <w:sz w:val="20"/>
              </w:rPr>
              <w:t>1,882</w:t>
            </w:r>
          </w:p>
        </w:tc>
        <w:tc>
          <w:tcPr>
            <w:tcW w:w="1050" w:type="dxa"/>
          </w:tcPr>
          <w:p w14:paraId="4990F3DF" w14:textId="4624AEED" w:rsidR="00CA5F6E" w:rsidRPr="00CA5F6E" w:rsidRDefault="00CA5F6E" w:rsidP="00CA5F6E">
            <w:pPr>
              <w:jc w:val="right"/>
              <w:rPr>
                <w:b/>
                <w:bCs/>
                <w:sz w:val="20"/>
              </w:rPr>
            </w:pPr>
            <w:r w:rsidRPr="00CA5F6E">
              <w:rPr>
                <w:b/>
                <w:bCs/>
                <w:sz w:val="20"/>
              </w:rPr>
              <w:t>1,638</w:t>
            </w:r>
          </w:p>
        </w:tc>
        <w:tc>
          <w:tcPr>
            <w:tcW w:w="1206" w:type="dxa"/>
            <w:shd w:val="clear" w:color="auto" w:fill="auto"/>
          </w:tcPr>
          <w:p w14:paraId="3067A7CC" w14:textId="198D6D27" w:rsidR="00CA5F6E" w:rsidRPr="00CA5F6E" w:rsidRDefault="00CA5F6E" w:rsidP="00CA5F6E">
            <w:pPr>
              <w:jc w:val="right"/>
              <w:rPr>
                <w:rFonts w:cs="Arial"/>
                <w:b/>
                <w:bCs/>
                <w:sz w:val="20"/>
              </w:rPr>
            </w:pPr>
            <w:r w:rsidRPr="00CA5F6E">
              <w:rPr>
                <w:rFonts w:cs="Arial"/>
                <w:b/>
                <w:bCs/>
                <w:sz w:val="20"/>
              </w:rPr>
              <w:t>244</w:t>
            </w:r>
          </w:p>
        </w:tc>
      </w:tr>
    </w:tbl>
    <w:p w14:paraId="77C9411A" w14:textId="32EFBBC8" w:rsidR="00F6344A" w:rsidRPr="00C761D4" w:rsidRDefault="00F6344A" w:rsidP="00487CDB">
      <w:pPr>
        <w:pStyle w:val="ListParagraph"/>
        <w:ind w:left="460"/>
        <w:rPr>
          <w:rFonts w:cs="Arial"/>
          <w:bCs/>
        </w:rPr>
      </w:pPr>
    </w:p>
    <w:p w14:paraId="2941320B" w14:textId="7184DB5C" w:rsidR="00F51A83" w:rsidRPr="00C761D4" w:rsidRDefault="00F51A83" w:rsidP="00F51A83">
      <w:pPr>
        <w:pStyle w:val="ListParagraph"/>
        <w:numPr>
          <w:ilvl w:val="0"/>
          <w:numId w:val="4"/>
        </w:numPr>
        <w:ind w:left="567" w:hanging="567"/>
        <w:jc w:val="both"/>
        <w:rPr>
          <w:rFonts w:cs="Arial"/>
          <w:bCs/>
        </w:rPr>
      </w:pPr>
      <w:r>
        <w:rPr>
          <w:rFonts w:cs="Arial"/>
          <w:bCs/>
          <w:szCs w:val="24"/>
        </w:rPr>
        <w:t>As at Q</w:t>
      </w:r>
      <w:r w:rsidR="00CA5F6E">
        <w:rPr>
          <w:rFonts w:cs="Arial"/>
          <w:bCs/>
          <w:szCs w:val="24"/>
        </w:rPr>
        <w:t>2</w:t>
      </w:r>
      <w:r>
        <w:rPr>
          <w:rFonts w:cs="Arial"/>
          <w:bCs/>
          <w:szCs w:val="24"/>
        </w:rPr>
        <w:t xml:space="preserve"> the directorate is reporting a net overspend of £1.</w:t>
      </w:r>
      <w:r w:rsidR="00C444C1">
        <w:rPr>
          <w:rFonts w:cs="Arial"/>
          <w:bCs/>
          <w:szCs w:val="24"/>
        </w:rPr>
        <w:t>882</w:t>
      </w:r>
      <w:r>
        <w:rPr>
          <w:rFonts w:cs="Arial"/>
          <w:bCs/>
          <w:szCs w:val="24"/>
        </w:rPr>
        <w:t xml:space="preserve">m after draw down from reserves and one-off funding &amp; management actions. </w:t>
      </w:r>
    </w:p>
    <w:p w14:paraId="45298AD1" w14:textId="1534CFD2" w:rsidR="00F51A83" w:rsidRDefault="00F51A83" w:rsidP="00F51A83">
      <w:pPr>
        <w:pStyle w:val="ListParagraph"/>
        <w:ind w:left="567"/>
        <w:jc w:val="both"/>
        <w:rPr>
          <w:rFonts w:cs="Arial"/>
          <w:bCs/>
        </w:rPr>
      </w:pPr>
    </w:p>
    <w:p w14:paraId="12A234AD" w14:textId="2992FDB4" w:rsidR="00F51A83" w:rsidRDefault="00F51A83" w:rsidP="00F51A83">
      <w:pPr>
        <w:pStyle w:val="ListParagraph"/>
        <w:numPr>
          <w:ilvl w:val="0"/>
          <w:numId w:val="4"/>
        </w:numPr>
        <w:ind w:left="567" w:hanging="567"/>
        <w:jc w:val="both"/>
        <w:rPr>
          <w:rFonts w:cs="Arial"/>
          <w:bCs/>
        </w:rPr>
      </w:pPr>
      <w:r>
        <w:rPr>
          <w:rFonts w:cs="Arial"/>
          <w:bCs/>
        </w:rPr>
        <w:t xml:space="preserve">The reserve movements are shown in Table </w:t>
      </w:r>
      <w:r w:rsidR="00C444C1">
        <w:rPr>
          <w:rFonts w:cs="Arial"/>
          <w:bCs/>
        </w:rPr>
        <w:t>9</w:t>
      </w:r>
      <w:r>
        <w:rPr>
          <w:rFonts w:cs="Arial"/>
          <w:bCs/>
        </w:rPr>
        <w:t xml:space="preserve"> </w:t>
      </w:r>
    </w:p>
    <w:p w14:paraId="0D7BD9A3" w14:textId="77777777" w:rsidR="003A742D" w:rsidRDefault="003A742D" w:rsidP="00F51A83">
      <w:pPr>
        <w:jc w:val="both"/>
        <w:rPr>
          <w:rFonts w:cs="Arial"/>
          <w:b/>
          <w:bCs/>
          <w:szCs w:val="24"/>
          <w:u w:val="single"/>
        </w:rPr>
      </w:pPr>
    </w:p>
    <w:p w14:paraId="630785A8" w14:textId="4DB2195F" w:rsidR="00F51A83" w:rsidRDefault="00F51A83" w:rsidP="00F51A83">
      <w:pPr>
        <w:jc w:val="both"/>
        <w:rPr>
          <w:rFonts w:cs="Arial"/>
          <w:b/>
          <w:bCs/>
          <w:szCs w:val="24"/>
          <w:u w:val="single"/>
        </w:rPr>
      </w:pPr>
      <w:r>
        <w:rPr>
          <w:rFonts w:cs="Arial"/>
          <w:b/>
          <w:bCs/>
          <w:szCs w:val="24"/>
          <w:u w:val="single"/>
        </w:rPr>
        <w:t>T</w:t>
      </w:r>
      <w:r w:rsidRPr="00B83B56">
        <w:rPr>
          <w:rFonts w:cs="Arial"/>
          <w:b/>
          <w:bCs/>
          <w:szCs w:val="24"/>
          <w:u w:val="single"/>
        </w:rPr>
        <w:t xml:space="preserve">able </w:t>
      </w:r>
      <w:r w:rsidR="00C444C1">
        <w:rPr>
          <w:rFonts w:cs="Arial"/>
          <w:b/>
          <w:bCs/>
          <w:szCs w:val="24"/>
          <w:u w:val="single"/>
        </w:rPr>
        <w:t>9</w:t>
      </w:r>
      <w:r w:rsidRPr="00B83B56">
        <w:rPr>
          <w:rFonts w:cs="Arial"/>
          <w:b/>
          <w:bCs/>
          <w:szCs w:val="24"/>
          <w:u w:val="single"/>
        </w:rPr>
        <w:t xml:space="preserve">: </w:t>
      </w:r>
      <w:r>
        <w:rPr>
          <w:rFonts w:cs="Arial"/>
          <w:b/>
          <w:bCs/>
          <w:szCs w:val="24"/>
          <w:u w:val="single"/>
        </w:rPr>
        <w:t>People Services</w:t>
      </w:r>
      <w:r w:rsidRPr="00B83B56">
        <w:rPr>
          <w:rFonts w:cs="Arial"/>
          <w:b/>
          <w:bCs/>
          <w:szCs w:val="24"/>
          <w:u w:val="single"/>
        </w:rPr>
        <w:t xml:space="preserve"> Reserve Movements 2022-23</w:t>
      </w:r>
    </w:p>
    <w:p w14:paraId="329F6D73" w14:textId="77777777" w:rsidR="00F51A83" w:rsidRDefault="00F51A83" w:rsidP="00F51A83">
      <w:pPr>
        <w:jc w:val="both"/>
        <w:rPr>
          <w:rFonts w:cs="Arial"/>
          <w:b/>
          <w:bCs/>
          <w:szCs w:val="24"/>
          <w:u w:val="single"/>
        </w:rPr>
      </w:pPr>
    </w:p>
    <w:tbl>
      <w:tblPr>
        <w:tblStyle w:val="TableGrid"/>
        <w:tblW w:w="0" w:type="auto"/>
        <w:tblLook w:val="04A0" w:firstRow="1" w:lastRow="0" w:firstColumn="1" w:lastColumn="0" w:noHBand="0" w:noVBand="1"/>
      </w:tblPr>
      <w:tblGrid>
        <w:gridCol w:w="6785"/>
        <w:gridCol w:w="2234"/>
      </w:tblGrid>
      <w:tr w:rsidR="00F51A83" w:rsidRPr="00F51A83" w14:paraId="2E33AD7B" w14:textId="77777777" w:rsidTr="00DC6F9D">
        <w:tc>
          <w:tcPr>
            <w:tcW w:w="6941" w:type="dxa"/>
          </w:tcPr>
          <w:p w14:paraId="4542BD8D" w14:textId="6C3FC30C" w:rsidR="00F51A83" w:rsidRPr="00F51A83" w:rsidRDefault="00F51A83" w:rsidP="00F51A83">
            <w:pPr>
              <w:jc w:val="both"/>
              <w:rPr>
                <w:rFonts w:cs="Arial"/>
                <w:b/>
                <w:bCs/>
                <w:sz w:val="20"/>
              </w:rPr>
            </w:pPr>
            <w:r w:rsidRPr="00F51A83">
              <w:rPr>
                <w:b/>
                <w:bCs/>
                <w:sz w:val="20"/>
              </w:rPr>
              <w:t xml:space="preserve">Description </w:t>
            </w:r>
          </w:p>
        </w:tc>
        <w:tc>
          <w:tcPr>
            <w:tcW w:w="2263" w:type="dxa"/>
          </w:tcPr>
          <w:p w14:paraId="2C6EB572" w14:textId="0BC58FE7" w:rsidR="00F51A83" w:rsidRPr="00F51A83" w:rsidRDefault="00F51A83" w:rsidP="00F51A83">
            <w:pPr>
              <w:jc w:val="right"/>
              <w:rPr>
                <w:rFonts w:cs="Arial"/>
                <w:b/>
                <w:bCs/>
                <w:sz w:val="20"/>
              </w:rPr>
            </w:pPr>
            <w:r>
              <w:rPr>
                <w:rFonts w:cs="Arial"/>
                <w:b/>
                <w:bCs/>
                <w:sz w:val="20"/>
              </w:rPr>
              <w:t>Movement £’000</w:t>
            </w:r>
          </w:p>
        </w:tc>
      </w:tr>
      <w:tr w:rsidR="00F51A83" w:rsidRPr="00F51A83" w14:paraId="766DDD5D" w14:textId="77777777" w:rsidTr="00DC6F9D">
        <w:tc>
          <w:tcPr>
            <w:tcW w:w="6941" w:type="dxa"/>
          </w:tcPr>
          <w:p w14:paraId="0F932413" w14:textId="4E7CFFB4" w:rsidR="00F51A83" w:rsidRPr="00F51A83" w:rsidRDefault="00F51A83" w:rsidP="00F51A83">
            <w:pPr>
              <w:jc w:val="both"/>
              <w:rPr>
                <w:rFonts w:cs="Arial"/>
                <w:sz w:val="20"/>
              </w:rPr>
            </w:pPr>
            <w:r>
              <w:rPr>
                <w:sz w:val="20"/>
              </w:rPr>
              <w:t xml:space="preserve">Children’s – </w:t>
            </w:r>
            <w:r w:rsidRPr="00F51A83">
              <w:rPr>
                <w:sz w:val="20"/>
              </w:rPr>
              <w:t>Revenue Grant Reserve</w:t>
            </w:r>
          </w:p>
        </w:tc>
        <w:tc>
          <w:tcPr>
            <w:tcW w:w="2263" w:type="dxa"/>
          </w:tcPr>
          <w:p w14:paraId="1ADB9EF5" w14:textId="1873F8B0" w:rsidR="00F51A83" w:rsidRPr="00F51A83" w:rsidRDefault="00F51A83" w:rsidP="00F51A83">
            <w:pPr>
              <w:jc w:val="right"/>
              <w:rPr>
                <w:rFonts w:cs="Arial"/>
                <w:sz w:val="20"/>
              </w:rPr>
            </w:pPr>
            <w:r w:rsidRPr="00F51A83">
              <w:rPr>
                <w:sz w:val="20"/>
              </w:rPr>
              <w:t>-52</w:t>
            </w:r>
          </w:p>
        </w:tc>
      </w:tr>
      <w:tr w:rsidR="00F51A83" w:rsidRPr="00F51A83" w14:paraId="41DF08B2" w14:textId="77777777" w:rsidTr="00DC6F9D">
        <w:tc>
          <w:tcPr>
            <w:tcW w:w="6941" w:type="dxa"/>
          </w:tcPr>
          <w:p w14:paraId="6FD23A1C" w14:textId="44EEFAF9" w:rsidR="00F51A83" w:rsidRPr="00F51A83" w:rsidRDefault="00F51A83" w:rsidP="00F51A83">
            <w:pPr>
              <w:jc w:val="both"/>
              <w:rPr>
                <w:rFonts w:cs="Arial"/>
                <w:sz w:val="20"/>
              </w:rPr>
            </w:pPr>
            <w:r>
              <w:rPr>
                <w:sz w:val="20"/>
              </w:rPr>
              <w:t xml:space="preserve">Children’s – </w:t>
            </w:r>
            <w:r w:rsidRPr="00F51A83">
              <w:rPr>
                <w:sz w:val="20"/>
              </w:rPr>
              <w:t>PFI Schools Sinking Fund</w:t>
            </w:r>
          </w:p>
        </w:tc>
        <w:tc>
          <w:tcPr>
            <w:tcW w:w="2263" w:type="dxa"/>
          </w:tcPr>
          <w:p w14:paraId="6F0C31CA" w14:textId="61C788C8" w:rsidR="00F51A83" w:rsidRPr="00F51A83" w:rsidRDefault="00F51A83" w:rsidP="00F51A83">
            <w:pPr>
              <w:jc w:val="right"/>
              <w:rPr>
                <w:rFonts w:cs="Arial"/>
                <w:sz w:val="20"/>
              </w:rPr>
            </w:pPr>
            <w:r w:rsidRPr="00F51A83">
              <w:rPr>
                <w:sz w:val="20"/>
              </w:rPr>
              <w:t>-</w:t>
            </w:r>
            <w:r w:rsidR="00C444C1">
              <w:rPr>
                <w:sz w:val="20"/>
              </w:rPr>
              <w:t>459</w:t>
            </w:r>
          </w:p>
        </w:tc>
      </w:tr>
      <w:tr w:rsidR="00F51A83" w:rsidRPr="00F51A83" w14:paraId="7A9CD7A7" w14:textId="77777777" w:rsidTr="001D2472">
        <w:tc>
          <w:tcPr>
            <w:tcW w:w="6941" w:type="dxa"/>
            <w:vAlign w:val="center"/>
          </w:tcPr>
          <w:p w14:paraId="245D6750" w14:textId="218FF51B" w:rsidR="00F51A83" w:rsidRPr="00F51A83" w:rsidRDefault="00F51A83" w:rsidP="00F51A83">
            <w:pPr>
              <w:jc w:val="both"/>
              <w:rPr>
                <w:rFonts w:cs="Arial"/>
                <w:sz w:val="20"/>
              </w:rPr>
            </w:pPr>
            <w:r>
              <w:rPr>
                <w:rFonts w:cs="Arial"/>
                <w:color w:val="000000"/>
                <w:sz w:val="20"/>
              </w:rPr>
              <w:t>Children’s – Children's Social Care Reserve</w:t>
            </w:r>
          </w:p>
        </w:tc>
        <w:tc>
          <w:tcPr>
            <w:tcW w:w="2263" w:type="dxa"/>
          </w:tcPr>
          <w:p w14:paraId="2E5128F4" w14:textId="5F220A84" w:rsidR="00F51A83" w:rsidRPr="00F51A83" w:rsidRDefault="00F51A83" w:rsidP="00F51A83">
            <w:pPr>
              <w:jc w:val="right"/>
              <w:rPr>
                <w:rFonts w:cs="Arial"/>
                <w:sz w:val="20"/>
              </w:rPr>
            </w:pPr>
            <w:r>
              <w:rPr>
                <w:sz w:val="20"/>
              </w:rPr>
              <w:t>-</w:t>
            </w:r>
            <w:r w:rsidR="00C444C1">
              <w:rPr>
                <w:sz w:val="20"/>
              </w:rPr>
              <w:t>2,279</w:t>
            </w:r>
          </w:p>
        </w:tc>
      </w:tr>
      <w:tr w:rsidR="00F51A83" w:rsidRPr="00F51A83" w14:paraId="5B56E77C" w14:textId="77777777" w:rsidTr="001D2472">
        <w:tc>
          <w:tcPr>
            <w:tcW w:w="6941" w:type="dxa"/>
            <w:vAlign w:val="center"/>
          </w:tcPr>
          <w:p w14:paraId="6E0A18A7" w14:textId="2ABAD591" w:rsidR="00F51A83" w:rsidRPr="00F51A83" w:rsidRDefault="00F51A83" w:rsidP="00F51A83">
            <w:pPr>
              <w:jc w:val="both"/>
              <w:rPr>
                <w:rFonts w:cs="Arial"/>
                <w:sz w:val="20"/>
              </w:rPr>
            </w:pPr>
            <w:r>
              <w:rPr>
                <w:rFonts w:cs="Arial"/>
                <w:color w:val="000000"/>
                <w:sz w:val="20"/>
              </w:rPr>
              <w:t>Children’s – Business Risk Reserve</w:t>
            </w:r>
          </w:p>
        </w:tc>
        <w:tc>
          <w:tcPr>
            <w:tcW w:w="2263" w:type="dxa"/>
          </w:tcPr>
          <w:p w14:paraId="1460A998" w14:textId="711DDC0E" w:rsidR="00F51A83" w:rsidRPr="00F51A83" w:rsidRDefault="00F51A83" w:rsidP="00F51A83">
            <w:pPr>
              <w:jc w:val="right"/>
              <w:rPr>
                <w:rFonts w:cs="Arial"/>
                <w:sz w:val="20"/>
              </w:rPr>
            </w:pPr>
            <w:r>
              <w:rPr>
                <w:sz w:val="20"/>
              </w:rPr>
              <w:t>-90</w:t>
            </w:r>
          </w:p>
        </w:tc>
      </w:tr>
      <w:tr w:rsidR="00F51A83" w:rsidRPr="00F51A83" w14:paraId="0C593F2B" w14:textId="77777777" w:rsidTr="00DC6F9D">
        <w:tc>
          <w:tcPr>
            <w:tcW w:w="6941" w:type="dxa"/>
          </w:tcPr>
          <w:p w14:paraId="2FFB73E3" w14:textId="2731EFA4" w:rsidR="00F51A83" w:rsidRPr="00F51A83" w:rsidRDefault="00F51A83" w:rsidP="00F51A83">
            <w:pPr>
              <w:jc w:val="both"/>
              <w:rPr>
                <w:rFonts w:cs="Arial"/>
                <w:sz w:val="20"/>
              </w:rPr>
            </w:pPr>
            <w:r>
              <w:rPr>
                <w:sz w:val="20"/>
              </w:rPr>
              <w:t xml:space="preserve">Public Health – </w:t>
            </w:r>
            <w:r w:rsidRPr="00F51A83">
              <w:rPr>
                <w:sz w:val="20"/>
              </w:rPr>
              <w:t>Public Health Reserve</w:t>
            </w:r>
          </w:p>
        </w:tc>
        <w:tc>
          <w:tcPr>
            <w:tcW w:w="2263" w:type="dxa"/>
          </w:tcPr>
          <w:p w14:paraId="5C999E42" w14:textId="4CB5E305" w:rsidR="00F51A83" w:rsidRPr="00F51A83" w:rsidRDefault="00F51A83" w:rsidP="00F51A83">
            <w:pPr>
              <w:jc w:val="right"/>
              <w:rPr>
                <w:rFonts w:cs="Arial"/>
                <w:sz w:val="20"/>
              </w:rPr>
            </w:pPr>
            <w:r w:rsidRPr="00F51A83">
              <w:rPr>
                <w:sz w:val="20"/>
              </w:rPr>
              <w:t>-</w:t>
            </w:r>
            <w:r w:rsidR="00A94305">
              <w:rPr>
                <w:sz w:val="20"/>
              </w:rPr>
              <w:t>255</w:t>
            </w:r>
          </w:p>
        </w:tc>
      </w:tr>
      <w:tr w:rsidR="00F51A83" w:rsidRPr="00F51A83" w14:paraId="3CF790B1" w14:textId="77777777" w:rsidTr="00F51A83">
        <w:trPr>
          <w:trHeight w:val="40"/>
        </w:trPr>
        <w:tc>
          <w:tcPr>
            <w:tcW w:w="6941" w:type="dxa"/>
          </w:tcPr>
          <w:p w14:paraId="56D90B65" w14:textId="3F3FE6B0" w:rsidR="00F51A83" w:rsidRPr="00F51A83" w:rsidRDefault="00F51A83" w:rsidP="00F51A83">
            <w:pPr>
              <w:jc w:val="both"/>
              <w:rPr>
                <w:rFonts w:cs="Arial"/>
                <w:sz w:val="20"/>
              </w:rPr>
            </w:pPr>
            <w:r>
              <w:rPr>
                <w:sz w:val="20"/>
              </w:rPr>
              <w:t xml:space="preserve">Adult Services – </w:t>
            </w:r>
            <w:r w:rsidRPr="00F51A83">
              <w:rPr>
                <w:sz w:val="20"/>
              </w:rPr>
              <w:t>Adults Social Care Reserve</w:t>
            </w:r>
          </w:p>
        </w:tc>
        <w:tc>
          <w:tcPr>
            <w:tcW w:w="2263" w:type="dxa"/>
          </w:tcPr>
          <w:p w14:paraId="5F96F310" w14:textId="38A3A871" w:rsidR="00F51A83" w:rsidRPr="00F51A83" w:rsidRDefault="00F51A83" w:rsidP="00F51A83">
            <w:pPr>
              <w:jc w:val="right"/>
              <w:rPr>
                <w:rFonts w:cs="Arial"/>
                <w:sz w:val="20"/>
              </w:rPr>
            </w:pPr>
            <w:r w:rsidRPr="00F51A83">
              <w:rPr>
                <w:sz w:val="20"/>
              </w:rPr>
              <w:t>-1,000</w:t>
            </w:r>
          </w:p>
        </w:tc>
      </w:tr>
      <w:tr w:rsidR="00F51A83" w:rsidRPr="00F51A83" w14:paraId="71CC5008" w14:textId="77777777" w:rsidTr="00DC6F9D">
        <w:tc>
          <w:tcPr>
            <w:tcW w:w="6941" w:type="dxa"/>
          </w:tcPr>
          <w:p w14:paraId="0076B504" w14:textId="5BC9CF88" w:rsidR="00F51A83" w:rsidRPr="00F51A83" w:rsidRDefault="00F51A83" w:rsidP="00F51A83">
            <w:pPr>
              <w:jc w:val="both"/>
              <w:rPr>
                <w:rFonts w:cs="Arial"/>
                <w:b/>
                <w:bCs/>
                <w:sz w:val="20"/>
              </w:rPr>
            </w:pPr>
            <w:r w:rsidRPr="00F51A83">
              <w:rPr>
                <w:b/>
                <w:bCs/>
                <w:sz w:val="20"/>
              </w:rPr>
              <w:t>People Services net draw down</w:t>
            </w:r>
          </w:p>
        </w:tc>
        <w:tc>
          <w:tcPr>
            <w:tcW w:w="2263" w:type="dxa"/>
          </w:tcPr>
          <w:p w14:paraId="650AFE58" w14:textId="4F59DCD5" w:rsidR="00F51A83" w:rsidRPr="00F51A83" w:rsidRDefault="00F51A83" w:rsidP="00F51A83">
            <w:pPr>
              <w:jc w:val="right"/>
              <w:rPr>
                <w:rFonts w:cs="Arial"/>
                <w:b/>
                <w:bCs/>
                <w:sz w:val="20"/>
              </w:rPr>
            </w:pPr>
            <w:r w:rsidRPr="00F51A83">
              <w:rPr>
                <w:b/>
                <w:bCs/>
                <w:sz w:val="20"/>
              </w:rPr>
              <w:t>-</w:t>
            </w:r>
            <w:r w:rsidR="00C444C1">
              <w:rPr>
                <w:b/>
                <w:bCs/>
                <w:sz w:val="20"/>
              </w:rPr>
              <w:t>4,</w:t>
            </w:r>
            <w:r w:rsidR="007C5E43">
              <w:rPr>
                <w:b/>
                <w:bCs/>
                <w:sz w:val="20"/>
              </w:rPr>
              <w:t>135</w:t>
            </w:r>
          </w:p>
        </w:tc>
      </w:tr>
    </w:tbl>
    <w:p w14:paraId="1D4396B4" w14:textId="77777777" w:rsidR="00F51A83" w:rsidRPr="00F51A83" w:rsidRDefault="00F51A83" w:rsidP="00F51A83">
      <w:pPr>
        <w:jc w:val="both"/>
        <w:rPr>
          <w:rFonts w:cs="Arial"/>
          <w:bCs/>
        </w:rPr>
      </w:pPr>
    </w:p>
    <w:p w14:paraId="45D98BC4" w14:textId="5222D49E" w:rsidR="00157B60" w:rsidRPr="00C761D4" w:rsidRDefault="00F678AF" w:rsidP="00AF06B3">
      <w:pPr>
        <w:pStyle w:val="ListParagraph"/>
        <w:numPr>
          <w:ilvl w:val="0"/>
          <w:numId w:val="4"/>
        </w:numPr>
        <w:ind w:left="460" w:hanging="567"/>
        <w:jc w:val="both"/>
        <w:rPr>
          <w:rFonts w:cs="Arial"/>
          <w:bCs/>
        </w:rPr>
      </w:pPr>
      <w:r w:rsidRPr="00C761D4">
        <w:rPr>
          <w:szCs w:val="24"/>
        </w:rPr>
        <w:t xml:space="preserve">The </w:t>
      </w:r>
      <w:r w:rsidR="00817D33" w:rsidRPr="00C761D4">
        <w:rPr>
          <w:rFonts w:cs="Arial"/>
          <w:bCs/>
        </w:rPr>
        <w:t xml:space="preserve">variations are </w:t>
      </w:r>
      <w:r w:rsidR="00161FB7" w:rsidRPr="00C761D4">
        <w:rPr>
          <w:rFonts w:cs="Arial"/>
          <w:bCs/>
        </w:rPr>
        <w:t xml:space="preserve">explained in more detail </w:t>
      </w:r>
      <w:r w:rsidR="006E61F6">
        <w:rPr>
          <w:rFonts w:cs="Arial"/>
          <w:bCs/>
        </w:rPr>
        <w:t>at the following paragraphs.</w:t>
      </w:r>
    </w:p>
    <w:p w14:paraId="0C403893" w14:textId="77777777" w:rsidR="003C7F2F" w:rsidRDefault="003C7F2F" w:rsidP="00157B60">
      <w:pPr>
        <w:jc w:val="both"/>
        <w:rPr>
          <w:rFonts w:cs="Arial"/>
          <w:b/>
        </w:rPr>
      </w:pPr>
    </w:p>
    <w:p w14:paraId="5DF0D479" w14:textId="77777777" w:rsidR="00573FF1" w:rsidRDefault="00573FF1" w:rsidP="00157B60">
      <w:pPr>
        <w:jc w:val="both"/>
        <w:rPr>
          <w:rFonts w:cs="Arial"/>
          <w:b/>
        </w:rPr>
      </w:pPr>
    </w:p>
    <w:p w14:paraId="4DBE3370" w14:textId="77777777" w:rsidR="00573FF1" w:rsidRDefault="00573FF1" w:rsidP="00157B60">
      <w:pPr>
        <w:jc w:val="both"/>
        <w:rPr>
          <w:rFonts w:cs="Arial"/>
          <w:b/>
        </w:rPr>
      </w:pPr>
    </w:p>
    <w:p w14:paraId="5FE7DAF4" w14:textId="77777777" w:rsidR="00573FF1" w:rsidRDefault="00573FF1" w:rsidP="00157B60">
      <w:pPr>
        <w:jc w:val="both"/>
        <w:rPr>
          <w:rFonts w:cs="Arial"/>
          <w:b/>
        </w:rPr>
      </w:pPr>
    </w:p>
    <w:p w14:paraId="27B5BE1A" w14:textId="14C836B8" w:rsidR="00157B60" w:rsidRPr="00440868" w:rsidRDefault="00157B60" w:rsidP="00157B60">
      <w:pPr>
        <w:jc w:val="both"/>
        <w:rPr>
          <w:rFonts w:cs="Arial"/>
          <w:b/>
        </w:rPr>
      </w:pPr>
      <w:r w:rsidRPr="00440868">
        <w:rPr>
          <w:rFonts w:cs="Arial"/>
          <w:b/>
        </w:rPr>
        <w:lastRenderedPageBreak/>
        <w:t>Adult Services</w:t>
      </w:r>
    </w:p>
    <w:p w14:paraId="0987F2CF" w14:textId="77777777" w:rsidR="00157B60" w:rsidRPr="00440868" w:rsidRDefault="00157B60" w:rsidP="00157B60">
      <w:pPr>
        <w:jc w:val="both"/>
        <w:rPr>
          <w:rFonts w:cs="Arial"/>
          <w:bCs/>
        </w:rPr>
      </w:pPr>
    </w:p>
    <w:p w14:paraId="22EC26E4" w14:textId="2750BFCD" w:rsidR="002B67CC" w:rsidRPr="002B67CC" w:rsidRDefault="00B60857" w:rsidP="00AF06B3">
      <w:pPr>
        <w:pStyle w:val="ListParagraph"/>
        <w:numPr>
          <w:ilvl w:val="0"/>
          <w:numId w:val="4"/>
        </w:numPr>
        <w:ind w:left="460" w:hanging="567"/>
        <w:jc w:val="both"/>
        <w:rPr>
          <w:rFonts w:cs="Arial"/>
          <w:bCs/>
        </w:rPr>
      </w:pPr>
      <w:bookmarkStart w:id="4" w:name="_Hlk48752687"/>
      <w:r>
        <w:rPr>
          <w:rFonts w:cstheme="minorHAnsi"/>
        </w:rPr>
        <w:t>As at Q</w:t>
      </w:r>
      <w:r w:rsidR="00C444C1">
        <w:rPr>
          <w:rFonts w:cstheme="minorHAnsi"/>
        </w:rPr>
        <w:t>2</w:t>
      </w:r>
      <w:r>
        <w:rPr>
          <w:rFonts w:cstheme="minorHAnsi"/>
        </w:rPr>
        <w:t xml:space="preserve"> the service is reporting a net o</w:t>
      </w:r>
      <w:r w:rsidR="002B67CC" w:rsidRPr="002B67CC">
        <w:rPr>
          <w:rFonts w:cstheme="minorHAnsi"/>
        </w:rPr>
        <w:t>verspend of £2.</w:t>
      </w:r>
      <w:r w:rsidR="00C444C1">
        <w:rPr>
          <w:rFonts w:cstheme="minorHAnsi"/>
        </w:rPr>
        <w:t>060</w:t>
      </w:r>
      <w:r w:rsidR="002B67CC" w:rsidRPr="002B67CC">
        <w:rPr>
          <w:rFonts w:cstheme="minorHAnsi"/>
        </w:rPr>
        <w:t xml:space="preserve">m </w:t>
      </w:r>
      <w:r w:rsidR="00C444C1">
        <w:rPr>
          <w:rFonts w:cstheme="minorHAnsi"/>
        </w:rPr>
        <w:t xml:space="preserve">which is partially </w:t>
      </w:r>
      <w:r w:rsidR="002B67CC" w:rsidRPr="002B67CC">
        <w:rPr>
          <w:rFonts w:cstheme="minorHAnsi"/>
        </w:rPr>
        <w:t>managed by £1m draw down from the A</w:t>
      </w:r>
      <w:r w:rsidR="002B67CC">
        <w:rPr>
          <w:rFonts w:cstheme="minorHAnsi"/>
        </w:rPr>
        <w:t xml:space="preserve">dults </w:t>
      </w:r>
      <w:r w:rsidR="002B67CC" w:rsidRPr="002B67CC">
        <w:rPr>
          <w:rFonts w:cstheme="minorHAnsi"/>
        </w:rPr>
        <w:t>S</w:t>
      </w:r>
      <w:r w:rsidR="002B67CC">
        <w:rPr>
          <w:rFonts w:cstheme="minorHAnsi"/>
        </w:rPr>
        <w:t xml:space="preserve">ocial </w:t>
      </w:r>
      <w:r w:rsidR="002B67CC" w:rsidRPr="002B67CC">
        <w:rPr>
          <w:rFonts w:cstheme="minorHAnsi"/>
        </w:rPr>
        <w:t>C</w:t>
      </w:r>
      <w:r w:rsidR="002B67CC">
        <w:rPr>
          <w:rFonts w:cstheme="minorHAnsi"/>
        </w:rPr>
        <w:t>are (ASC)</w:t>
      </w:r>
      <w:r w:rsidR="002B67CC" w:rsidRPr="002B67CC">
        <w:rPr>
          <w:rFonts w:cstheme="minorHAnsi"/>
        </w:rPr>
        <w:t xml:space="preserve"> reserve </w:t>
      </w:r>
      <w:r w:rsidR="00C444C1">
        <w:rPr>
          <w:rFonts w:cstheme="minorHAnsi"/>
        </w:rPr>
        <w:t>and £1.025m</w:t>
      </w:r>
      <w:r w:rsidR="002B67CC" w:rsidRPr="002B67CC">
        <w:rPr>
          <w:rFonts w:cstheme="minorHAnsi"/>
        </w:rPr>
        <w:t xml:space="preserve"> expected to be mitigated through a number of projects to reduce the underlying expenditure.</w:t>
      </w:r>
      <w:r w:rsidR="00C444C1">
        <w:rPr>
          <w:rFonts w:cstheme="minorHAnsi"/>
        </w:rPr>
        <w:t xml:space="preserve"> This leaves a net overspend of £35k from the balanced position reported at Q1.</w:t>
      </w:r>
    </w:p>
    <w:p w14:paraId="11119567" w14:textId="77777777" w:rsidR="002B67CC" w:rsidRPr="00BE1ACC" w:rsidRDefault="002B67CC" w:rsidP="002B67CC">
      <w:pPr>
        <w:pStyle w:val="ListParagraph"/>
        <w:ind w:left="460"/>
        <w:jc w:val="both"/>
        <w:rPr>
          <w:rFonts w:cs="Arial"/>
          <w:bCs/>
          <w:color w:val="FF0000"/>
        </w:rPr>
      </w:pPr>
    </w:p>
    <w:p w14:paraId="1E540DFA" w14:textId="32951E16" w:rsidR="002B67CC" w:rsidRPr="008D4CBB" w:rsidRDefault="00B60857" w:rsidP="00AF06B3">
      <w:pPr>
        <w:pStyle w:val="ListParagraph"/>
        <w:numPr>
          <w:ilvl w:val="0"/>
          <w:numId w:val="4"/>
        </w:numPr>
        <w:ind w:left="460" w:hanging="567"/>
        <w:jc w:val="both"/>
        <w:rPr>
          <w:rFonts w:cs="Arial"/>
          <w:bCs/>
        </w:rPr>
      </w:pPr>
      <w:r w:rsidRPr="00063321">
        <w:rPr>
          <w:rFonts w:cstheme="minorHAnsi"/>
          <w:b/>
          <w:bCs/>
        </w:rPr>
        <w:t>Strategic Management</w:t>
      </w:r>
      <w:r w:rsidRPr="00063321">
        <w:rPr>
          <w:rFonts w:cstheme="minorHAnsi"/>
        </w:rPr>
        <w:t xml:space="preserve"> - £</w:t>
      </w:r>
      <w:r w:rsidR="00C444C1" w:rsidRPr="00063321">
        <w:rPr>
          <w:rFonts w:cstheme="minorHAnsi"/>
        </w:rPr>
        <w:t>1.</w:t>
      </w:r>
      <w:r w:rsidRPr="00063321">
        <w:rPr>
          <w:rFonts w:cstheme="minorHAnsi"/>
        </w:rPr>
        <w:t>1</w:t>
      </w:r>
      <w:r w:rsidR="00C444C1" w:rsidRPr="00063321">
        <w:rPr>
          <w:rFonts w:cstheme="minorHAnsi"/>
        </w:rPr>
        <w:t>58m</w:t>
      </w:r>
      <w:r w:rsidRPr="00063321">
        <w:rPr>
          <w:rFonts w:cstheme="minorHAnsi"/>
        </w:rPr>
        <w:t xml:space="preserve"> overspend </w:t>
      </w:r>
      <w:r w:rsidR="00C444C1" w:rsidRPr="00063321">
        <w:rPr>
          <w:rFonts w:cstheme="minorHAnsi"/>
        </w:rPr>
        <w:t>before</w:t>
      </w:r>
      <w:r w:rsidRPr="00063321">
        <w:rPr>
          <w:rFonts w:cstheme="minorHAnsi"/>
        </w:rPr>
        <w:t xml:space="preserve"> draw down from reserves. </w:t>
      </w:r>
      <w:r w:rsidR="002B67CC" w:rsidRPr="00063321">
        <w:rPr>
          <w:rFonts w:cstheme="minorHAnsi"/>
        </w:rPr>
        <w:t xml:space="preserve">There </w:t>
      </w:r>
      <w:r w:rsidR="00C444C1" w:rsidRPr="00063321">
        <w:rPr>
          <w:rFonts w:cstheme="minorHAnsi"/>
        </w:rPr>
        <w:t>are 21FTE</w:t>
      </w:r>
      <w:r w:rsidR="002B67CC" w:rsidRPr="00063321">
        <w:rPr>
          <w:rFonts w:cstheme="minorHAnsi"/>
        </w:rPr>
        <w:t xml:space="preserve"> staffing above establishment to ease the impact of the cessation </w:t>
      </w:r>
      <w:r w:rsidR="002B67CC" w:rsidRPr="008D4CBB">
        <w:rPr>
          <w:rFonts w:cstheme="minorHAnsi"/>
        </w:rPr>
        <w:t>of the workforce grants allocated in previous years and will be</w:t>
      </w:r>
      <w:r w:rsidR="00C444C1" w:rsidRPr="008D4CBB">
        <w:rPr>
          <w:rFonts w:cstheme="minorHAnsi"/>
        </w:rPr>
        <w:t xml:space="preserve"> partially</w:t>
      </w:r>
      <w:r w:rsidR="002B67CC" w:rsidRPr="008D4CBB">
        <w:rPr>
          <w:rFonts w:cstheme="minorHAnsi"/>
        </w:rPr>
        <w:t xml:space="preserve"> funded by a one-off drawdown of £1m from the ASC Reserve.  </w:t>
      </w:r>
    </w:p>
    <w:p w14:paraId="19A8F7D4" w14:textId="77777777" w:rsidR="002B67CC" w:rsidRPr="008D4CBB" w:rsidRDefault="002B67CC" w:rsidP="002B67CC">
      <w:pPr>
        <w:pStyle w:val="ListParagraph"/>
        <w:rPr>
          <w:rFonts w:cstheme="minorHAnsi"/>
          <w:color w:val="FF0000"/>
        </w:rPr>
      </w:pPr>
    </w:p>
    <w:p w14:paraId="51C646B4" w14:textId="08C35C61" w:rsidR="00542808" w:rsidRPr="008D4CBB" w:rsidRDefault="00333068" w:rsidP="00F512A4">
      <w:pPr>
        <w:pStyle w:val="ListParagraph"/>
        <w:numPr>
          <w:ilvl w:val="0"/>
          <w:numId w:val="4"/>
        </w:numPr>
        <w:ind w:left="460" w:hanging="567"/>
        <w:jc w:val="both"/>
        <w:rPr>
          <w:rFonts w:cs="Arial"/>
          <w:bCs/>
        </w:rPr>
      </w:pPr>
      <w:r w:rsidRPr="008D4CBB">
        <w:rPr>
          <w:rFonts w:cstheme="minorHAnsi"/>
          <w:b/>
          <w:bCs/>
        </w:rPr>
        <w:t xml:space="preserve">Commissioned </w:t>
      </w:r>
      <w:r w:rsidR="00EF4214" w:rsidRPr="008D4CBB">
        <w:rPr>
          <w:rFonts w:cstheme="minorHAnsi"/>
          <w:b/>
          <w:bCs/>
        </w:rPr>
        <w:t xml:space="preserve">Care </w:t>
      </w:r>
      <w:r w:rsidR="00EF4214" w:rsidRPr="008D4CBB">
        <w:rPr>
          <w:rFonts w:cstheme="minorHAnsi"/>
        </w:rPr>
        <w:t>-</w:t>
      </w:r>
      <w:r w:rsidR="00B60857" w:rsidRPr="008D4CBB">
        <w:rPr>
          <w:rFonts w:cstheme="minorHAnsi"/>
        </w:rPr>
        <w:t xml:space="preserve"> £1.</w:t>
      </w:r>
      <w:r w:rsidR="00C444C1" w:rsidRPr="008D4CBB">
        <w:rPr>
          <w:rFonts w:cstheme="minorHAnsi"/>
        </w:rPr>
        <w:t>044</w:t>
      </w:r>
      <w:r w:rsidR="00B60857" w:rsidRPr="008D4CBB">
        <w:rPr>
          <w:rFonts w:cstheme="minorHAnsi"/>
        </w:rPr>
        <w:t>m overspend before mitigating actions</w:t>
      </w:r>
      <w:r w:rsidR="00C444C1" w:rsidRPr="008D4CBB">
        <w:rPr>
          <w:rFonts w:cstheme="minorHAnsi"/>
        </w:rPr>
        <w:t xml:space="preserve"> of £</w:t>
      </w:r>
      <w:r w:rsidR="00BE1ACC" w:rsidRPr="008D4CBB">
        <w:rPr>
          <w:rFonts w:cstheme="minorHAnsi"/>
        </w:rPr>
        <w:t>9</w:t>
      </w:r>
      <w:r w:rsidR="00C444C1" w:rsidRPr="008D4CBB">
        <w:rPr>
          <w:rFonts w:cstheme="minorHAnsi"/>
        </w:rPr>
        <w:t xml:space="preserve">50k leaving a residual £93k overspend. </w:t>
      </w:r>
      <w:r w:rsidRPr="008D4CBB">
        <w:rPr>
          <w:rFonts w:cstheme="minorHAnsi"/>
        </w:rPr>
        <w:t>The overspend is due to increase</w:t>
      </w:r>
      <w:r w:rsidR="002B1705" w:rsidRPr="008D4CBB">
        <w:rPr>
          <w:rFonts w:cstheme="minorHAnsi"/>
        </w:rPr>
        <w:t>d numbers in bedded care and packages of home care in the community.</w:t>
      </w:r>
    </w:p>
    <w:p w14:paraId="3E935935" w14:textId="77777777" w:rsidR="00542808" w:rsidRPr="007833B6" w:rsidRDefault="00542808" w:rsidP="00542808">
      <w:pPr>
        <w:pStyle w:val="ListParagraph"/>
        <w:rPr>
          <w:rFonts w:eastAsia="Calibri" w:cstheme="minorHAnsi"/>
        </w:rPr>
      </w:pPr>
    </w:p>
    <w:p w14:paraId="6913F124" w14:textId="1EE5B25C" w:rsidR="005773C2" w:rsidRPr="007833B6" w:rsidRDefault="002B67CC" w:rsidP="00AF06B3">
      <w:pPr>
        <w:pStyle w:val="ListParagraph"/>
        <w:numPr>
          <w:ilvl w:val="0"/>
          <w:numId w:val="4"/>
        </w:numPr>
        <w:ind w:left="460" w:hanging="567"/>
        <w:jc w:val="both"/>
        <w:rPr>
          <w:rFonts w:cs="Arial"/>
          <w:bCs/>
        </w:rPr>
      </w:pPr>
      <w:r w:rsidRPr="007833B6">
        <w:rPr>
          <w:rFonts w:eastAsia="Calibri" w:cstheme="minorHAnsi"/>
        </w:rPr>
        <w:t>The</w:t>
      </w:r>
      <w:r w:rsidR="005773C2" w:rsidRPr="007833B6">
        <w:rPr>
          <w:rFonts w:eastAsia="Calibri" w:cstheme="minorHAnsi"/>
        </w:rPr>
        <w:t xml:space="preserve"> placement position</w:t>
      </w:r>
      <w:r w:rsidRPr="007833B6">
        <w:rPr>
          <w:rFonts w:eastAsia="Calibri" w:cstheme="minorHAnsi"/>
        </w:rPr>
        <w:t xml:space="preserve"> forecast</w:t>
      </w:r>
      <w:r w:rsidR="005773C2" w:rsidRPr="007833B6">
        <w:rPr>
          <w:rFonts w:eastAsia="Calibri" w:cstheme="minorHAnsi"/>
        </w:rPr>
        <w:t xml:space="preserve"> indicates an overspend of £453k</w:t>
      </w:r>
      <w:r w:rsidR="002A2400" w:rsidRPr="007833B6">
        <w:rPr>
          <w:rFonts w:eastAsia="Calibri" w:cstheme="minorHAnsi"/>
        </w:rPr>
        <w:t xml:space="preserve"> with the following key assumptions in relation to activity between period 6 and year end</w:t>
      </w:r>
      <w:r w:rsidR="005773C2" w:rsidRPr="007833B6">
        <w:rPr>
          <w:rFonts w:eastAsia="Calibri" w:cstheme="minorHAnsi"/>
        </w:rPr>
        <w:t xml:space="preserve">.  </w:t>
      </w:r>
    </w:p>
    <w:p w14:paraId="3D16D6B5" w14:textId="77777777" w:rsidR="005773C2" w:rsidRPr="007833B6" w:rsidRDefault="005773C2" w:rsidP="005773C2">
      <w:pPr>
        <w:pStyle w:val="ListParagraph"/>
        <w:rPr>
          <w:rFonts w:eastAsia="Calibri" w:cstheme="minorHAnsi"/>
        </w:rPr>
      </w:pPr>
    </w:p>
    <w:p w14:paraId="0AFE28EE" w14:textId="31CFBE0B" w:rsidR="002A2400" w:rsidRPr="007833B6" w:rsidRDefault="002A2400" w:rsidP="005773C2">
      <w:pPr>
        <w:pStyle w:val="ListParagraph"/>
        <w:numPr>
          <w:ilvl w:val="1"/>
          <w:numId w:val="4"/>
        </w:numPr>
        <w:ind w:left="851" w:hanging="284"/>
        <w:jc w:val="both"/>
        <w:rPr>
          <w:rFonts w:cs="Arial"/>
          <w:bCs/>
        </w:rPr>
      </w:pPr>
      <w:r w:rsidRPr="007833B6">
        <w:rPr>
          <w:rFonts w:cs="Arial"/>
          <w:bCs/>
        </w:rPr>
        <w:t>A balanced position for children and young adults</w:t>
      </w:r>
    </w:p>
    <w:p w14:paraId="4BC6E1B2" w14:textId="0CB80043" w:rsidR="002A2400" w:rsidRPr="007833B6" w:rsidRDefault="002A2400" w:rsidP="005773C2">
      <w:pPr>
        <w:pStyle w:val="ListParagraph"/>
        <w:numPr>
          <w:ilvl w:val="1"/>
          <w:numId w:val="4"/>
        </w:numPr>
        <w:ind w:left="851" w:hanging="284"/>
        <w:jc w:val="both"/>
        <w:rPr>
          <w:rFonts w:cs="Arial"/>
          <w:bCs/>
        </w:rPr>
      </w:pPr>
      <w:r w:rsidRPr="007833B6">
        <w:rPr>
          <w:rFonts w:cs="Arial"/>
          <w:bCs/>
        </w:rPr>
        <w:t>£1.733m for new placements (£983k) and increased complexity (£750k) for older people</w:t>
      </w:r>
    </w:p>
    <w:p w14:paraId="179CB700" w14:textId="77777777" w:rsidR="002A2400" w:rsidRPr="007833B6" w:rsidRDefault="002A2400" w:rsidP="002A2400">
      <w:pPr>
        <w:pStyle w:val="ListParagraph"/>
        <w:numPr>
          <w:ilvl w:val="1"/>
          <w:numId w:val="4"/>
        </w:numPr>
        <w:ind w:left="851" w:hanging="284"/>
        <w:jc w:val="both"/>
        <w:rPr>
          <w:rFonts w:cs="Arial"/>
          <w:bCs/>
        </w:rPr>
      </w:pPr>
      <w:r w:rsidRPr="007833B6">
        <w:rPr>
          <w:rFonts w:cs="Arial"/>
          <w:bCs/>
        </w:rPr>
        <w:t xml:space="preserve">An increase in the bad debt provision of £1.015m - </w:t>
      </w:r>
      <w:r w:rsidRPr="007833B6">
        <w:rPr>
          <w:rFonts w:cs="Arial"/>
        </w:rPr>
        <w:t xml:space="preserve">of which £500k increase in the bad debt provision (£290k of which is budgeted) representing the ageing of the debt, together with £515k credit notes (previous years) written back to revenue </w:t>
      </w:r>
    </w:p>
    <w:p w14:paraId="7782348A" w14:textId="77777777" w:rsidR="002A2400" w:rsidRPr="007833B6" w:rsidRDefault="002A2400" w:rsidP="002A2400">
      <w:pPr>
        <w:pStyle w:val="ListParagraph"/>
        <w:numPr>
          <w:ilvl w:val="1"/>
          <w:numId w:val="4"/>
        </w:numPr>
        <w:ind w:left="851" w:hanging="284"/>
        <w:jc w:val="both"/>
        <w:rPr>
          <w:rFonts w:cs="Arial"/>
          <w:bCs/>
        </w:rPr>
      </w:pPr>
      <w:r w:rsidRPr="007833B6">
        <w:rPr>
          <w:rFonts w:cs="Arial"/>
        </w:rPr>
        <w:t>£492k cost of care grant (75%) to fund inflationary uplifts above growth allocation of £1.135m (estimated at £1.783m)</w:t>
      </w:r>
    </w:p>
    <w:p w14:paraId="4AD0FDAB" w14:textId="28DDC30B" w:rsidR="002A2400" w:rsidRPr="007833B6" w:rsidRDefault="002A2400" w:rsidP="002A2400">
      <w:pPr>
        <w:pStyle w:val="ListParagraph"/>
        <w:numPr>
          <w:ilvl w:val="1"/>
          <w:numId w:val="4"/>
        </w:numPr>
        <w:ind w:left="851" w:hanging="284"/>
        <w:jc w:val="both"/>
        <w:rPr>
          <w:rFonts w:cs="Arial"/>
          <w:bCs/>
        </w:rPr>
      </w:pPr>
      <w:r w:rsidRPr="007833B6">
        <w:rPr>
          <w:rFonts w:cs="Arial"/>
        </w:rPr>
        <w:t xml:space="preserve">Loss of Sancroft PFI grant £236k </w:t>
      </w:r>
    </w:p>
    <w:p w14:paraId="1E72299B" w14:textId="69D5FAD8" w:rsidR="002A2400" w:rsidRPr="007833B6" w:rsidRDefault="002A2400" w:rsidP="002A2400">
      <w:pPr>
        <w:pStyle w:val="ListParagraph"/>
        <w:numPr>
          <w:ilvl w:val="1"/>
          <w:numId w:val="4"/>
        </w:numPr>
        <w:ind w:left="851" w:hanging="284"/>
        <w:jc w:val="both"/>
        <w:rPr>
          <w:rFonts w:cs="Arial"/>
          <w:bCs/>
        </w:rPr>
      </w:pPr>
      <w:r w:rsidRPr="007833B6">
        <w:rPr>
          <w:rFonts w:cs="Arial"/>
        </w:rPr>
        <w:t>Discharge to Assess funding of £700k for the scheme for the period April to August.</w:t>
      </w:r>
    </w:p>
    <w:p w14:paraId="42591CEB" w14:textId="07179BDE" w:rsidR="002A2400" w:rsidRPr="007833B6" w:rsidRDefault="002A2400" w:rsidP="009F5E51">
      <w:pPr>
        <w:pStyle w:val="ListParagraph"/>
        <w:numPr>
          <w:ilvl w:val="1"/>
          <w:numId w:val="4"/>
        </w:numPr>
        <w:ind w:left="851" w:hanging="284"/>
        <w:jc w:val="both"/>
        <w:rPr>
          <w:rFonts w:cs="Arial"/>
          <w:bCs/>
        </w:rPr>
      </w:pPr>
      <w:r w:rsidRPr="007833B6">
        <w:rPr>
          <w:rFonts w:cs="Arial"/>
        </w:rPr>
        <w:t xml:space="preserve">-£250k internal mitigation plan – originally assumed at £1.1m (after offset of 2FTE link worker costs).  </w:t>
      </w:r>
    </w:p>
    <w:p w14:paraId="2FC3390A" w14:textId="77777777" w:rsidR="002A2400" w:rsidRPr="007833B6" w:rsidRDefault="002A2400" w:rsidP="002A2400">
      <w:pPr>
        <w:pStyle w:val="ListParagraph"/>
        <w:ind w:left="851"/>
        <w:jc w:val="both"/>
        <w:rPr>
          <w:rFonts w:cs="Arial"/>
          <w:bCs/>
        </w:rPr>
      </w:pPr>
    </w:p>
    <w:p w14:paraId="2E5AB43E" w14:textId="3F945D49" w:rsidR="002B67CC" w:rsidRPr="007833B6" w:rsidRDefault="005773C2" w:rsidP="00ED1DE8">
      <w:pPr>
        <w:ind w:left="567"/>
        <w:jc w:val="both"/>
        <w:rPr>
          <w:rFonts w:cs="Arial"/>
          <w:bCs/>
        </w:rPr>
      </w:pPr>
      <w:r w:rsidRPr="007833B6">
        <w:rPr>
          <w:rFonts w:eastAsia="Calibri" w:cstheme="minorHAnsi"/>
        </w:rPr>
        <w:t xml:space="preserve">The placement forecast </w:t>
      </w:r>
      <w:r w:rsidR="004B20F6" w:rsidRPr="007833B6">
        <w:rPr>
          <w:rFonts w:eastAsia="Calibri" w:cstheme="minorHAnsi"/>
        </w:rPr>
        <w:t>overspend</w:t>
      </w:r>
      <w:r w:rsidR="007833B6" w:rsidRPr="007833B6">
        <w:rPr>
          <w:rFonts w:eastAsia="Calibri" w:cstheme="minorHAnsi"/>
        </w:rPr>
        <w:t xml:space="preserve"> (of £453k)</w:t>
      </w:r>
      <w:r w:rsidR="004B20F6" w:rsidRPr="007833B6">
        <w:rPr>
          <w:rFonts w:eastAsia="Calibri" w:cstheme="minorHAnsi"/>
        </w:rPr>
        <w:t xml:space="preserve"> </w:t>
      </w:r>
      <w:r w:rsidRPr="007833B6">
        <w:rPr>
          <w:rFonts w:eastAsia="Calibri" w:cstheme="minorHAnsi"/>
        </w:rPr>
        <w:t>is mitigated by increase</w:t>
      </w:r>
      <w:r w:rsidR="004B20F6" w:rsidRPr="007833B6">
        <w:rPr>
          <w:rFonts w:eastAsia="Calibri" w:cstheme="minorHAnsi"/>
        </w:rPr>
        <w:t>d income</w:t>
      </w:r>
      <w:r w:rsidRPr="007833B6">
        <w:rPr>
          <w:rFonts w:eastAsia="Calibri" w:cstheme="minorHAnsi"/>
        </w:rPr>
        <w:t xml:space="preserve"> of £359k in the Better Care Fund; of which £195k represents an increase in the government grant and £164k the </w:t>
      </w:r>
      <w:r w:rsidR="00EF4214" w:rsidRPr="007833B6">
        <w:rPr>
          <w:rFonts w:eastAsia="Calibri" w:cstheme="minorHAnsi"/>
        </w:rPr>
        <w:t>uncommitted</w:t>
      </w:r>
      <w:r w:rsidRPr="007833B6">
        <w:rPr>
          <w:rFonts w:eastAsia="Calibri" w:cstheme="minorHAnsi"/>
        </w:rPr>
        <w:t xml:space="preserve"> increase in the protection of social care funding from health.</w:t>
      </w:r>
      <w:bookmarkStart w:id="5" w:name="_Hlk112854274"/>
    </w:p>
    <w:p w14:paraId="79DA1B50" w14:textId="77777777" w:rsidR="00063321" w:rsidRPr="007833B6" w:rsidRDefault="00063321" w:rsidP="00063321">
      <w:pPr>
        <w:pStyle w:val="ListParagraph"/>
        <w:rPr>
          <w:rFonts w:cs="Arial"/>
          <w:bCs/>
        </w:rPr>
      </w:pPr>
    </w:p>
    <w:p w14:paraId="62F250A0" w14:textId="67BE9BCD" w:rsidR="00063321" w:rsidRPr="007833B6" w:rsidRDefault="00063321" w:rsidP="00AF06B3">
      <w:pPr>
        <w:pStyle w:val="ListParagraph"/>
        <w:numPr>
          <w:ilvl w:val="0"/>
          <w:numId w:val="4"/>
        </w:numPr>
        <w:ind w:left="460" w:hanging="567"/>
        <w:jc w:val="both"/>
        <w:rPr>
          <w:rFonts w:cs="Arial"/>
          <w:bCs/>
        </w:rPr>
      </w:pPr>
      <w:r w:rsidRPr="007833B6">
        <w:rPr>
          <w:rFonts w:cs="Arial"/>
          <w:b/>
        </w:rPr>
        <w:t>Mental Health</w:t>
      </w:r>
      <w:r w:rsidRPr="007833B6">
        <w:rPr>
          <w:rFonts w:cs="Arial"/>
          <w:bCs/>
        </w:rPr>
        <w:t xml:space="preserve"> - £200k underspend. This relates to the S75 with CNWL</w:t>
      </w:r>
      <w:r w:rsidR="00417510" w:rsidRPr="007833B6">
        <w:rPr>
          <w:rFonts w:cs="Arial"/>
          <w:bCs/>
        </w:rPr>
        <w:t xml:space="preserve"> based on the latest forecast </w:t>
      </w:r>
      <w:r w:rsidR="00930F7A" w:rsidRPr="007833B6">
        <w:rPr>
          <w:rFonts w:cs="Arial"/>
          <w:bCs/>
        </w:rPr>
        <w:t>of</w:t>
      </w:r>
      <w:r w:rsidR="00417510" w:rsidRPr="007833B6">
        <w:rPr>
          <w:rFonts w:cs="Arial"/>
          <w:bCs/>
        </w:rPr>
        <w:t xml:space="preserve"> £6.305m </w:t>
      </w:r>
      <w:r w:rsidR="007833B6" w:rsidRPr="007833B6">
        <w:rPr>
          <w:rFonts w:cs="Arial"/>
          <w:bCs/>
        </w:rPr>
        <w:t xml:space="preserve">and </w:t>
      </w:r>
      <w:r w:rsidR="00417510" w:rsidRPr="007833B6">
        <w:rPr>
          <w:rFonts w:cs="Arial"/>
          <w:bCs/>
        </w:rPr>
        <w:t>does n</w:t>
      </w:r>
      <w:r w:rsidR="00930F7A" w:rsidRPr="007833B6">
        <w:rPr>
          <w:rFonts w:cs="Arial"/>
          <w:bCs/>
        </w:rPr>
        <w:t>o</w:t>
      </w:r>
      <w:r w:rsidR="00417510" w:rsidRPr="007833B6">
        <w:rPr>
          <w:rFonts w:cs="Arial"/>
          <w:bCs/>
        </w:rPr>
        <w:t xml:space="preserve">t assume further </w:t>
      </w:r>
      <w:r w:rsidR="00930F7A" w:rsidRPr="007833B6">
        <w:rPr>
          <w:rFonts w:cs="Arial"/>
          <w:bCs/>
        </w:rPr>
        <w:t>reduction</w:t>
      </w:r>
      <w:r w:rsidR="00417510" w:rsidRPr="007833B6">
        <w:rPr>
          <w:rFonts w:cs="Arial"/>
          <w:bCs/>
        </w:rPr>
        <w:t xml:space="preserve"> in the forecast arising from the recovery plan given </w:t>
      </w:r>
      <w:r w:rsidR="00930F7A" w:rsidRPr="007833B6">
        <w:rPr>
          <w:rFonts w:cs="Arial"/>
          <w:bCs/>
        </w:rPr>
        <w:t>that</w:t>
      </w:r>
      <w:r w:rsidR="00417510" w:rsidRPr="007833B6">
        <w:rPr>
          <w:rFonts w:cs="Arial"/>
          <w:bCs/>
        </w:rPr>
        <w:t xml:space="preserve"> the August/September cost reductions were offset by increased costs. Income from the CCG for block recharges is not included as </w:t>
      </w:r>
      <w:r w:rsidR="007833B6" w:rsidRPr="007833B6">
        <w:rPr>
          <w:rFonts w:cs="Arial"/>
          <w:bCs/>
        </w:rPr>
        <w:t xml:space="preserve">this has </w:t>
      </w:r>
      <w:r w:rsidR="00417510" w:rsidRPr="007833B6">
        <w:rPr>
          <w:rFonts w:cs="Arial"/>
          <w:bCs/>
        </w:rPr>
        <w:t xml:space="preserve">not yet </w:t>
      </w:r>
      <w:r w:rsidR="007833B6" w:rsidRPr="007833B6">
        <w:rPr>
          <w:rFonts w:cs="Arial"/>
          <w:bCs/>
        </w:rPr>
        <w:t xml:space="preserve">been </w:t>
      </w:r>
      <w:r w:rsidR="00417510" w:rsidRPr="007833B6">
        <w:rPr>
          <w:rFonts w:cs="Arial"/>
          <w:bCs/>
        </w:rPr>
        <w:t>agreed.</w:t>
      </w:r>
    </w:p>
    <w:bookmarkEnd w:id="5"/>
    <w:p w14:paraId="68C16E0F" w14:textId="77777777" w:rsidR="002B67CC" w:rsidRPr="007833B6" w:rsidRDefault="002B67CC" w:rsidP="002B67CC">
      <w:pPr>
        <w:pStyle w:val="ListParagraph"/>
        <w:rPr>
          <w:rFonts w:cstheme="minorHAnsi"/>
        </w:rPr>
      </w:pPr>
    </w:p>
    <w:p w14:paraId="043730BB" w14:textId="52997C2B" w:rsidR="00063321" w:rsidRPr="007833B6" w:rsidRDefault="00542808" w:rsidP="00AF06B3">
      <w:pPr>
        <w:pStyle w:val="ListParagraph"/>
        <w:numPr>
          <w:ilvl w:val="0"/>
          <w:numId w:val="4"/>
        </w:numPr>
        <w:ind w:left="460" w:hanging="567"/>
        <w:jc w:val="both"/>
        <w:rPr>
          <w:rFonts w:cs="Arial"/>
          <w:bCs/>
        </w:rPr>
      </w:pPr>
      <w:r w:rsidRPr="007833B6">
        <w:rPr>
          <w:rFonts w:cstheme="minorHAnsi"/>
          <w:b/>
          <w:bCs/>
        </w:rPr>
        <w:t xml:space="preserve">Inhouse </w:t>
      </w:r>
      <w:r w:rsidR="00930F7A" w:rsidRPr="007833B6">
        <w:rPr>
          <w:rFonts w:cstheme="minorHAnsi"/>
          <w:b/>
          <w:bCs/>
        </w:rPr>
        <w:t xml:space="preserve">Services </w:t>
      </w:r>
      <w:r w:rsidR="00930F7A" w:rsidRPr="007833B6">
        <w:rPr>
          <w:rFonts w:cstheme="minorHAnsi"/>
        </w:rPr>
        <w:t>-</w:t>
      </w:r>
      <w:r w:rsidR="00063321" w:rsidRPr="007833B6">
        <w:rPr>
          <w:rFonts w:cstheme="minorHAnsi"/>
        </w:rPr>
        <w:t xml:space="preserve"> £394k underspend. This is made up of an underspend on staffing costs £240k partially offset by an assumption around increased utility </w:t>
      </w:r>
      <w:r w:rsidR="00063321" w:rsidRPr="007833B6">
        <w:rPr>
          <w:rFonts w:cstheme="minorHAnsi"/>
        </w:rPr>
        <w:lastRenderedPageBreak/>
        <w:t xml:space="preserve">costs £123k for inhouse services. In </w:t>
      </w:r>
      <w:r w:rsidR="00930F7A" w:rsidRPr="007833B6">
        <w:rPr>
          <w:rFonts w:cstheme="minorHAnsi"/>
        </w:rPr>
        <w:t>addition,</w:t>
      </w:r>
      <w:r w:rsidR="00063321" w:rsidRPr="007833B6">
        <w:rPr>
          <w:rFonts w:cstheme="minorHAnsi"/>
        </w:rPr>
        <w:t xml:space="preserve"> there is an estimated underspend of £277k on transport with lower </w:t>
      </w:r>
      <w:r w:rsidR="00930F7A" w:rsidRPr="007833B6">
        <w:rPr>
          <w:rFonts w:cstheme="minorHAnsi"/>
        </w:rPr>
        <w:t>adults’</w:t>
      </w:r>
      <w:r w:rsidR="00063321" w:rsidRPr="007833B6">
        <w:rPr>
          <w:rFonts w:cstheme="minorHAnsi"/>
        </w:rPr>
        <w:t xml:space="preserve"> usage being redirected to </w:t>
      </w:r>
      <w:r w:rsidR="005E717F">
        <w:rPr>
          <w:rFonts w:cstheme="minorHAnsi"/>
        </w:rPr>
        <w:t>C</w:t>
      </w:r>
      <w:r w:rsidR="00930F7A" w:rsidRPr="007833B6">
        <w:rPr>
          <w:rFonts w:cstheme="minorHAnsi"/>
        </w:rPr>
        <w:t>hildren’s</w:t>
      </w:r>
      <w:r w:rsidR="00063321" w:rsidRPr="007833B6">
        <w:rPr>
          <w:rFonts w:cstheme="minorHAnsi"/>
        </w:rPr>
        <w:t>.</w:t>
      </w:r>
    </w:p>
    <w:p w14:paraId="5455359F" w14:textId="77777777" w:rsidR="00063321" w:rsidRPr="007833B6" w:rsidRDefault="00063321" w:rsidP="00063321">
      <w:pPr>
        <w:pStyle w:val="ListParagraph"/>
        <w:rPr>
          <w:rFonts w:cstheme="minorHAnsi"/>
          <w:b/>
          <w:bCs/>
        </w:rPr>
      </w:pPr>
    </w:p>
    <w:p w14:paraId="6562C7F2" w14:textId="0C61FC1E" w:rsidR="002B67CC" w:rsidRPr="007833B6" w:rsidRDefault="00542808" w:rsidP="00880ABB">
      <w:pPr>
        <w:pStyle w:val="ListParagraph"/>
        <w:numPr>
          <w:ilvl w:val="0"/>
          <w:numId w:val="4"/>
        </w:numPr>
        <w:ind w:left="460" w:hanging="567"/>
        <w:jc w:val="both"/>
        <w:rPr>
          <w:rFonts w:cstheme="minorHAnsi"/>
        </w:rPr>
      </w:pPr>
      <w:r w:rsidRPr="007833B6">
        <w:rPr>
          <w:rFonts w:cstheme="minorHAnsi"/>
          <w:b/>
          <w:bCs/>
        </w:rPr>
        <w:t>Other Adults</w:t>
      </w:r>
      <w:r w:rsidRPr="007833B6">
        <w:rPr>
          <w:rFonts w:cstheme="minorHAnsi"/>
        </w:rPr>
        <w:t xml:space="preserve"> – </w:t>
      </w:r>
      <w:r w:rsidR="00063321" w:rsidRPr="007833B6">
        <w:rPr>
          <w:rFonts w:cstheme="minorHAnsi"/>
        </w:rPr>
        <w:t>£378k overspend</w:t>
      </w:r>
      <w:r w:rsidRPr="007833B6">
        <w:rPr>
          <w:rFonts w:cstheme="minorHAnsi"/>
        </w:rPr>
        <w:t xml:space="preserve">. </w:t>
      </w:r>
      <w:r w:rsidR="002B67CC" w:rsidRPr="007833B6">
        <w:rPr>
          <w:rFonts w:cstheme="minorHAnsi"/>
        </w:rPr>
        <w:t>Th</w:t>
      </w:r>
      <w:r w:rsidR="00F16B75" w:rsidRPr="007833B6">
        <w:rPr>
          <w:rFonts w:cstheme="minorHAnsi"/>
        </w:rPr>
        <w:t>is represents an increase in the cost of community equipment (£200k) and staffing pressures mitigated in part by the cost of care implementation grant</w:t>
      </w:r>
      <w:r w:rsidR="007833B6" w:rsidRPr="007833B6">
        <w:rPr>
          <w:rFonts w:cstheme="minorHAnsi"/>
        </w:rPr>
        <w:t xml:space="preserve"> (£178k)</w:t>
      </w:r>
      <w:r w:rsidR="00F16B75" w:rsidRPr="007833B6">
        <w:rPr>
          <w:rFonts w:cstheme="minorHAnsi"/>
        </w:rPr>
        <w:t>.</w:t>
      </w:r>
      <w:r w:rsidR="002B67CC" w:rsidRPr="007833B6">
        <w:rPr>
          <w:rFonts w:cstheme="minorHAnsi"/>
        </w:rPr>
        <w:t xml:space="preserve"> </w:t>
      </w:r>
    </w:p>
    <w:p w14:paraId="24F09F3E" w14:textId="77777777" w:rsidR="00F16B75" w:rsidRPr="007833B6" w:rsidRDefault="00F16B75" w:rsidP="00F16B75">
      <w:pPr>
        <w:pStyle w:val="ListParagraph"/>
        <w:rPr>
          <w:rFonts w:cstheme="minorHAnsi"/>
        </w:rPr>
      </w:pPr>
    </w:p>
    <w:p w14:paraId="75DC8B13" w14:textId="6B2D14BB" w:rsidR="002B67CC" w:rsidRPr="007833B6" w:rsidRDefault="002B67CC" w:rsidP="00AF06B3">
      <w:pPr>
        <w:pStyle w:val="ListParagraph"/>
        <w:numPr>
          <w:ilvl w:val="0"/>
          <w:numId w:val="4"/>
        </w:numPr>
        <w:ind w:left="460" w:hanging="567"/>
        <w:jc w:val="both"/>
        <w:rPr>
          <w:rFonts w:cs="Arial"/>
          <w:bCs/>
        </w:rPr>
      </w:pPr>
      <w:r w:rsidRPr="007833B6">
        <w:rPr>
          <w:rFonts w:cstheme="minorHAnsi"/>
        </w:rPr>
        <w:t>The balance of the ASC Reserve is held for costs to support implementation of savings plans (£300k), ASC reforms (£500k) and one-off pressures (£1.969m)</w:t>
      </w:r>
    </w:p>
    <w:p w14:paraId="23B3A48A" w14:textId="2BCB967F" w:rsidR="003F2C5D" w:rsidRPr="007833B6" w:rsidRDefault="003F2C5D" w:rsidP="002B67CC">
      <w:pPr>
        <w:pStyle w:val="ListParagraph"/>
        <w:ind w:left="460"/>
        <w:jc w:val="both"/>
        <w:rPr>
          <w:rFonts w:cs="Arial"/>
        </w:rPr>
      </w:pPr>
    </w:p>
    <w:p w14:paraId="389D0819" w14:textId="4846DF19" w:rsidR="008E20FC" w:rsidRPr="00E136DA" w:rsidRDefault="008E20FC" w:rsidP="002656C8">
      <w:pPr>
        <w:rPr>
          <w:rFonts w:cs="Arial"/>
          <w:b/>
          <w:bCs/>
        </w:rPr>
      </w:pPr>
      <w:r w:rsidRPr="00E136DA">
        <w:rPr>
          <w:rFonts w:cs="Arial"/>
          <w:b/>
          <w:bCs/>
        </w:rPr>
        <w:t>Public Health</w:t>
      </w:r>
    </w:p>
    <w:p w14:paraId="56F890D2" w14:textId="77777777" w:rsidR="00EA30B3" w:rsidRPr="00E136DA" w:rsidRDefault="00EA30B3" w:rsidP="00EA30B3">
      <w:pPr>
        <w:pStyle w:val="ListParagraph"/>
        <w:rPr>
          <w:rFonts w:eastAsia="Calibri" w:cs="Arial"/>
        </w:rPr>
      </w:pPr>
    </w:p>
    <w:p w14:paraId="23CA7D55" w14:textId="5826304A" w:rsidR="00E136DA" w:rsidRPr="003A742D" w:rsidRDefault="00A36B2C" w:rsidP="00AF06B3">
      <w:pPr>
        <w:pStyle w:val="ListParagraph"/>
        <w:numPr>
          <w:ilvl w:val="0"/>
          <w:numId w:val="4"/>
        </w:numPr>
        <w:ind w:left="460" w:hanging="567"/>
        <w:jc w:val="both"/>
        <w:rPr>
          <w:rFonts w:cs="Arial"/>
          <w:b/>
          <w:bCs/>
        </w:rPr>
      </w:pPr>
      <w:r w:rsidRPr="003A742D">
        <w:rPr>
          <w:rFonts w:eastAsia="Calibri" w:cs="Arial"/>
        </w:rPr>
        <w:t>As at Q</w:t>
      </w:r>
      <w:r w:rsidR="006322FF">
        <w:rPr>
          <w:rFonts w:eastAsia="Calibri" w:cs="Arial"/>
        </w:rPr>
        <w:t>2</w:t>
      </w:r>
      <w:r w:rsidRPr="003A742D">
        <w:rPr>
          <w:rFonts w:eastAsia="Calibri" w:cs="Arial"/>
        </w:rPr>
        <w:t xml:space="preserve"> </w:t>
      </w:r>
      <w:r w:rsidR="00EA30B3" w:rsidRPr="003A742D">
        <w:rPr>
          <w:rFonts w:eastAsia="Calibri" w:cs="Arial"/>
        </w:rPr>
        <w:t xml:space="preserve">Public </w:t>
      </w:r>
      <w:r w:rsidR="003F2C5D" w:rsidRPr="003A742D">
        <w:rPr>
          <w:rFonts w:cs="Arial"/>
        </w:rPr>
        <w:t>Health is reporting a</w:t>
      </w:r>
      <w:r w:rsidR="008E20FC" w:rsidRPr="003A742D">
        <w:rPr>
          <w:rFonts w:cs="Arial"/>
        </w:rPr>
        <w:t xml:space="preserve"> balanced position</w:t>
      </w:r>
      <w:r w:rsidR="002B67CC" w:rsidRPr="003A742D">
        <w:rPr>
          <w:rFonts w:cs="Arial"/>
        </w:rPr>
        <w:t xml:space="preserve"> after a </w:t>
      </w:r>
      <w:r w:rsidR="008E23C8" w:rsidRPr="003A742D">
        <w:rPr>
          <w:rFonts w:cs="Arial"/>
        </w:rPr>
        <w:t xml:space="preserve">planned </w:t>
      </w:r>
      <w:r w:rsidR="002B67CC" w:rsidRPr="003A742D">
        <w:rPr>
          <w:rFonts w:cs="Arial"/>
        </w:rPr>
        <w:t>draw down of £</w:t>
      </w:r>
      <w:r w:rsidR="006322FF">
        <w:rPr>
          <w:rFonts w:cs="Arial"/>
        </w:rPr>
        <w:t>255</w:t>
      </w:r>
      <w:r w:rsidR="002B67CC" w:rsidRPr="003A742D">
        <w:rPr>
          <w:rFonts w:cs="Arial"/>
        </w:rPr>
        <w:t>k from the Public Health reserve to fund the continuation of improvement projects and increased funding for wider determinants of health</w:t>
      </w:r>
      <w:r w:rsidR="008E23C8" w:rsidRPr="003A742D">
        <w:rPr>
          <w:rFonts w:cs="Arial"/>
        </w:rPr>
        <w:t>.</w:t>
      </w:r>
    </w:p>
    <w:p w14:paraId="67E72BAD" w14:textId="77777777" w:rsidR="002B67CC" w:rsidRDefault="002B67CC" w:rsidP="001025AD">
      <w:pPr>
        <w:jc w:val="both"/>
        <w:rPr>
          <w:rFonts w:cs="Arial"/>
          <w:b/>
        </w:rPr>
      </w:pPr>
    </w:p>
    <w:p w14:paraId="2F0006DF" w14:textId="32C5C36E" w:rsidR="00E56F07" w:rsidRPr="00AF59F9" w:rsidRDefault="00E56F07" w:rsidP="001025AD">
      <w:pPr>
        <w:jc w:val="both"/>
        <w:rPr>
          <w:rFonts w:cs="Arial"/>
          <w:b/>
        </w:rPr>
      </w:pPr>
      <w:r w:rsidRPr="00AF59F9">
        <w:rPr>
          <w:rFonts w:cs="Arial"/>
          <w:b/>
        </w:rPr>
        <w:t>Children’s Services</w:t>
      </w:r>
    </w:p>
    <w:p w14:paraId="69980A39" w14:textId="2BE2A53E" w:rsidR="00CE59BC" w:rsidRPr="00B37833" w:rsidRDefault="00CE59BC" w:rsidP="00CE59BC">
      <w:pPr>
        <w:pStyle w:val="ListParagraph"/>
        <w:ind w:left="567"/>
        <w:jc w:val="both"/>
        <w:rPr>
          <w:rFonts w:cs="Arial"/>
          <w:color w:val="FF0000"/>
        </w:rPr>
      </w:pPr>
    </w:p>
    <w:bookmarkEnd w:id="4"/>
    <w:p w14:paraId="1D3859D8" w14:textId="1864A01C" w:rsidR="00EA30B3" w:rsidRPr="00BE1ACC" w:rsidRDefault="00A0404D" w:rsidP="00AF06B3">
      <w:pPr>
        <w:pStyle w:val="ListParagraph"/>
        <w:numPr>
          <w:ilvl w:val="0"/>
          <w:numId w:val="4"/>
        </w:numPr>
        <w:ind w:left="460" w:hanging="567"/>
        <w:jc w:val="both"/>
        <w:rPr>
          <w:rFonts w:cs="Arial"/>
          <w:b/>
          <w:bCs/>
        </w:rPr>
      </w:pPr>
      <w:r>
        <w:rPr>
          <w:rFonts w:eastAsia="Calibri" w:cs="Arial"/>
        </w:rPr>
        <w:t>As at Q</w:t>
      </w:r>
      <w:r w:rsidR="00BE1ACC">
        <w:rPr>
          <w:rFonts w:eastAsia="Calibri" w:cs="Arial"/>
        </w:rPr>
        <w:t>2</w:t>
      </w:r>
      <w:r>
        <w:rPr>
          <w:rFonts w:eastAsia="Calibri" w:cs="Arial"/>
        </w:rPr>
        <w:t xml:space="preserve"> the service is reporting a net overspend of £1.</w:t>
      </w:r>
      <w:r w:rsidR="00BE1ACC">
        <w:rPr>
          <w:rFonts w:eastAsia="Calibri" w:cs="Arial"/>
        </w:rPr>
        <w:t>847</w:t>
      </w:r>
      <w:r>
        <w:rPr>
          <w:rFonts w:eastAsia="Calibri" w:cs="Arial"/>
        </w:rPr>
        <w:t xml:space="preserve">m after a draw down from reserves and use of </w:t>
      </w:r>
      <w:r w:rsidR="00751C64">
        <w:rPr>
          <w:rFonts w:eastAsia="Calibri" w:cs="Arial"/>
        </w:rPr>
        <w:t>one-off</w:t>
      </w:r>
      <w:r>
        <w:rPr>
          <w:rFonts w:eastAsia="Calibri" w:cs="Arial"/>
        </w:rPr>
        <w:t xml:space="preserve"> funding.</w:t>
      </w:r>
    </w:p>
    <w:p w14:paraId="675F23EB" w14:textId="77777777" w:rsidR="00BE1ACC" w:rsidRPr="00BE1ACC" w:rsidRDefault="00BE1ACC" w:rsidP="00BE1ACC">
      <w:pPr>
        <w:pStyle w:val="ListParagraph"/>
        <w:ind w:left="460"/>
        <w:jc w:val="both"/>
        <w:rPr>
          <w:rFonts w:cs="Arial"/>
          <w:b/>
          <w:bCs/>
        </w:rPr>
      </w:pPr>
    </w:p>
    <w:p w14:paraId="2CC578E7" w14:textId="77EA841A" w:rsidR="00BE1ACC" w:rsidRPr="00CB7869" w:rsidRDefault="00BE1ACC" w:rsidP="00AF06B3">
      <w:pPr>
        <w:pStyle w:val="ListParagraph"/>
        <w:numPr>
          <w:ilvl w:val="0"/>
          <w:numId w:val="4"/>
        </w:numPr>
        <w:ind w:left="460" w:hanging="567"/>
        <w:jc w:val="both"/>
        <w:rPr>
          <w:rFonts w:cs="Arial"/>
          <w:b/>
          <w:bCs/>
        </w:rPr>
      </w:pPr>
      <w:r>
        <w:rPr>
          <w:rFonts w:eastAsia="Calibri" w:cs="Arial"/>
        </w:rPr>
        <w:t>This is an increase of £208k from the position reported at Q1. This mainly relates to increased pressures on SEN Transport £143k and various other pressures, mainly children’s placements, of £65k.</w:t>
      </w:r>
    </w:p>
    <w:p w14:paraId="4B51607C" w14:textId="77777777" w:rsidR="00CB7869" w:rsidRPr="00CB7869" w:rsidRDefault="00CB7869" w:rsidP="00CB7869">
      <w:pPr>
        <w:pStyle w:val="ListParagraph"/>
        <w:ind w:left="460"/>
        <w:jc w:val="both"/>
        <w:rPr>
          <w:rFonts w:cs="Arial"/>
          <w:b/>
          <w:bCs/>
        </w:rPr>
      </w:pPr>
    </w:p>
    <w:p w14:paraId="6140F382" w14:textId="3940D363" w:rsidR="00CB7869" w:rsidRPr="00B94016" w:rsidRDefault="00CB7869" w:rsidP="00AF06B3">
      <w:pPr>
        <w:pStyle w:val="ListParagraph"/>
        <w:numPr>
          <w:ilvl w:val="0"/>
          <w:numId w:val="4"/>
        </w:numPr>
        <w:ind w:left="460" w:hanging="567"/>
        <w:jc w:val="both"/>
        <w:rPr>
          <w:rFonts w:cs="Arial"/>
          <w:b/>
          <w:bCs/>
        </w:rPr>
      </w:pPr>
      <w:r>
        <w:rPr>
          <w:rFonts w:eastAsia="Calibri" w:cs="Arial"/>
        </w:rPr>
        <w:t>The Children’s Services budget has increased by £1.770m through permanent growth in the MTFS. In addition, £2.117m has been earmarked in the Children’s Social Care (CSC) Reserve to support overall pressures.</w:t>
      </w:r>
    </w:p>
    <w:p w14:paraId="21A96E4E" w14:textId="77777777" w:rsidR="00EA30B3" w:rsidRPr="00B94016" w:rsidRDefault="00EA30B3" w:rsidP="00EA30B3">
      <w:pPr>
        <w:pStyle w:val="ListParagraph"/>
        <w:ind w:left="460"/>
        <w:jc w:val="both"/>
        <w:rPr>
          <w:rFonts w:cs="Arial"/>
          <w:b/>
          <w:bCs/>
        </w:rPr>
      </w:pPr>
    </w:p>
    <w:p w14:paraId="12DD122A" w14:textId="0CD0773C" w:rsidR="00EA30B3" w:rsidRPr="00B94016" w:rsidRDefault="00B94016" w:rsidP="00AF06B3">
      <w:pPr>
        <w:pStyle w:val="ListParagraph"/>
        <w:numPr>
          <w:ilvl w:val="0"/>
          <w:numId w:val="4"/>
        </w:numPr>
        <w:ind w:left="460" w:hanging="567"/>
        <w:jc w:val="both"/>
        <w:rPr>
          <w:rFonts w:cs="Arial"/>
          <w:b/>
          <w:bCs/>
        </w:rPr>
      </w:pPr>
      <w:r w:rsidRPr="00B94016">
        <w:rPr>
          <w:rFonts w:cs="Arial"/>
        </w:rPr>
        <w:t>The main variances are summarised in the following paragraphs</w:t>
      </w:r>
      <w:r w:rsidR="00DC7888" w:rsidRPr="00B94016">
        <w:rPr>
          <w:rFonts w:cs="Arial"/>
        </w:rPr>
        <w:t xml:space="preserve">. </w:t>
      </w:r>
    </w:p>
    <w:p w14:paraId="460E7D92" w14:textId="77777777" w:rsidR="00EA30B3" w:rsidRPr="00B94016" w:rsidRDefault="00EA30B3" w:rsidP="00EA30B3">
      <w:pPr>
        <w:pStyle w:val="ListParagraph"/>
        <w:rPr>
          <w:rFonts w:cs="Arial"/>
          <w:b/>
        </w:rPr>
      </w:pPr>
    </w:p>
    <w:p w14:paraId="2B92B891" w14:textId="20E20826" w:rsidR="00951BDC" w:rsidRPr="00951BDC" w:rsidRDefault="00951BDC" w:rsidP="00AF06B3">
      <w:pPr>
        <w:pStyle w:val="ListParagraph"/>
        <w:numPr>
          <w:ilvl w:val="0"/>
          <w:numId w:val="4"/>
        </w:numPr>
        <w:ind w:left="460" w:hanging="567"/>
        <w:jc w:val="both"/>
        <w:rPr>
          <w:rFonts w:cs="Arial"/>
          <w:b/>
          <w:bCs/>
        </w:rPr>
      </w:pPr>
      <w:r>
        <w:rPr>
          <w:rFonts w:cs="Arial"/>
          <w:b/>
          <w:bCs/>
        </w:rPr>
        <w:t xml:space="preserve">Children and Young People Services </w:t>
      </w:r>
      <w:r w:rsidR="00CB7869">
        <w:rPr>
          <w:rFonts w:cs="Arial"/>
        </w:rPr>
        <w:t>– £1.</w:t>
      </w:r>
      <w:r w:rsidR="005716B1">
        <w:rPr>
          <w:rFonts w:cs="Arial"/>
        </w:rPr>
        <w:t>3</w:t>
      </w:r>
      <w:r w:rsidR="00B24DC0">
        <w:rPr>
          <w:rFonts w:cs="Arial"/>
        </w:rPr>
        <w:t>84</w:t>
      </w:r>
      <w:r w:rsidR="00CB7869">
        <w:rPr>
          <w:rFonts w:cs="Arial"/>
        </w:rPr>
        <w:t>m net overspend</w:t>
      </w:r>
    </w:p>
    <w:p w14:paraId="36BF6852" w14:textId="77777777" w:rsidR="00951BDC" w:rsidRPr="00951BDC" w:rsidRDefault="00951BDC" w:rsidP="00951BDC">
      <w:pPr>
        <w:pStyle w:val="ListParagraph"/>
        <w:rPr>
          <w:rFonts w:cs="Arial"/>
          <w:b/>
        </w:rPr>
      </w:pPr>
    </w:p>
    <w:p w14:paraId="40177AAD" w14:textId="5896ECFE" w:rsidR="00AF59F9" w:rsidRPr="00CB7869" w:rsidRDefault="001B7238" w:rsidP="00AF06B3">
      <w:pPr>
        <w:pStyle w:val="ListParagraph"/>
        <w:numPr>
          <w:ilvl w:val="1"/>
          <w:numId w:val="4"/>
        </w:numPr>
        <w:ind w:left="1276"/>
        <w:jc w:val="both"/>
        <w:rPr>
          <w:rFonts w:cs="Arial"/>
          <w:b/>
        </w:rPr>
      </w:pPr>
      <w:r w:rsidRPr="00CB7869">
        <w:rPr>
          <w:rFonts w:cs="Arial"/>
          <w:b/>
        </w:rPr>
        <w:t>Children’s Placements &amp; Accommodation</w:t>
      </w:r>
      <w:r w:rsidR="00B94016" w:rsidRPr="00CB7869">
        <w:rPr>
          <w:rFonts w:cs="Arial"/>
          <w:b/>
        </w:rPr>
        <w:t xml:space="preserve"> </w:t>
      </w:r>
      <w:r w:rsidR="00B94016" w:rsidRPr="00CB7869">
        <w:rPr>
          <w:rFonts w:cs="Arial"/>
          <w:bCs/>
        </w:rPr>
        <w:t xml:space="preserve">- </w:t>
      </w:r>
      <w:r w:rsidR="00CB7869">
        <w:rPr>
          <w:rFonts w:cs="Arial"/>
          <w:bCs/>
        </w:rPr>
        <w:t>£2.</w:t>
      </w:r>
      <w:r w:rsidR="00B24DC0">
        <w:rPr>
          <w:rFonts w:cs="Arial"/>
          <w:bCs/>
        </w:rPr>
        <w:t>858</w:t>
      </w:r>
      <w:r w:rsidR="00CB7869">
        <w:rPr>
          <w:rFonts w:cs="Arial"/>
          <w:bCs/>
        </w:rPr>
        <w:t xml:space="preserve">m </w:t>
      </w:r>
      <w:r w:rsidR="00B94016" w:rsidRPr="00CB7869">
        <w:rPr>
          <w:rFonts w:cs="Arial"/>
          <w:bCs/>
        </w:rPr>
        <w:t>net</w:t>
      </w:r>
      <w:r w:rsidRPr="00CB7869">
        <w:rPr>
          <w:rFonts w:cs="Arial"/>
          <w:bCs/>
        </w:rPr>
        <w:t xml:space="preserve"> overspend</w:t>
      </w:r>
      <w:r w:rsidR="00AF59F9" w:rsidRPr="00CB7869">
        <w:rPr>
          <w:rFonts w:cs="Arial"/>
          <w:bCs/>
        </w:rPr>
        <w:t xml:space="preserve">. </w:t>
      </w:r>
      <w:r w:rsidR="00CB7869" w:rsidRPr="00CB7869">
        <w:rPr>
          <w:rFonts w:cs="Arial"/>
          <w:bCs/>
        </w:rPr>
        <w:t>The forecast assumes that there will be additional new placements throughout the financial year of £</w:t>
      </w:r>
      <w:r w:rsidR="00B24DC0">
        <w:rPr>
          <w:rFonts w:cs="Arial"/>
          <w:bCs/>
        </w:rPr>
        <w:t>500k</w:t>
      </w:r>
      <w:r w:rsidR="00CB7869">
        <w:rPr>
          <w:rFonts w:cs="Arial"/>
          <w:bCs/>
        </w:rPr>
        <w:t>. If this does not come to fruition the forecast will reduce each month</w:t>
      </w:r>
    </w:p>
    <w:p w14:paraId="14C9AF1F" w14:textId="05C8886A" w:rsidR="00CB7869" w:rsidRPr="00CB7869" w:rsidRDefault="00CB7869" w:rsidP="00AF06B3">
      <w:pPr>
        <w:pStyle w:val="ListParagraph"/>
        <w:numPr>
          <w:ilvl w:val="1"/>
          <w:numId w:val="4"/>
        </w:numPr>
        <w:ind w:left="1276"/>
        <w:jc w:val="both"/>
        <w:rPr>
          <w:rFonts w:cs="Arial"/>
          <w:b/>
        </w:rPr>
      </w:pPr>
      <w:r>
        <w:rPr>
          <w:rFonts w:cs="Arial"/>
          <w:b/>
        </w:rPr>
        <w:t>Frontline Staffing</w:t>
      </w:r>
      <w:r>
        <w:rPr>
          <w:rFonts w:cs="Arial"/>
          <w:bCs/>
        </w:rPr>
        <w:t xml:space="preserve"> – £</w:t>
      </w:r>
      <w:r w:rsidR="00B24DC0">
        <w:rPr>
          <w:rFonts w:cs="Arial"/>
          <w:bCs/>
        </w:rPr>
        <w:t>1.010m</w:t>
      </w:r>
      <w:r>
        <w:rPr>
          <w:rFonts w:cs="Arial"/>
          <w:bCs/>
        </w:rPr>
        <w:t xml:space="preserve"> net overspend due to staffing pressures to maintain safe caseloads and use of </w:t>
      </w:r>
      <w:r w:rsidR="005E717F">
        <w:rPr>
          <w:rFonts w:cs="Arial"/>
          <w:bCs/>
        </w:rPr>
        <w:t xml:space="preserve">more expensive </w:t>
      </w:r>
      <w:r>
        <w:rPr>
          <w:rFonts w:cs="Arial"/>
          <w:bCs/>
        </w:rPr>
        <w:t xml:space="preserve">agency staff due to difficulties in </w:t>
      </w:r>
      <w:r w:rsidR="00751C64">
        <w:rPr>
          <w:rFonts w:cs="Arial"/>
          <w:bCs/>
        </w:rPr>
        <w:t>permanent</w:t>
      </w:r>
      <w:r>
        <w:rPr>
          <w:rFonts w:cs="Arial"/>
          <w:bCs/>
        </w:rPr>
        <w:t xml:space="preserve"> recruitment </w:t>
      </w:r>
    </w:p>
    <w:p w14:paraId="417C3331" w14:textId="27574353" w:rsidR="00CB7869" w:rsidRPr="00535A36" w:rsidRDefault="00CB7869" w:rsidP="00AF06B3">
      <w:pPr>
        <w:pStyle w:val="ListParagraph"/>
        <w:numPr>
          <w:ilvl w:val="1"/>
          <w:numId w:val="4"/>
        </w:numPr>
        <w:ind w:left="1276"/>
        <w:jc w:val="both"/>
        <w:rPr>
          <w:rFonts w:cs="Arial"/>
          <w:b/>
        </w:rPr>
      </w:pPr>
      <w:r>
        <w:rPr>
          <w:rFonts w:cs="Arial"/>
          <w:b/>
        </w:rPr>
        <w:t xml:space="preserve">Client Related Spend </w:t>
      </w:r>
      <w:r>
        <w:rPr>
          <w:rFonts w:cs="Arial"/>
          <w:bCs/>
        </w:rPr>
        <w:t xml:space="preserve">– </w:t>
      </w:r>
      <w:r w:rsidR="00A36B2C">
        <w:rPr>
          <w:rFonts w:cs="Arial"/>
          <w:bCs/>
        </w:rPr>
        <w:t>£</w:t>
      </w:r>
      <w:r w:rsidR="00B24DC0">
        <w:rPr>
          <w:rFonts w:cs="Arial"/>
          <w:bCs/>
        </w:rPr>
        <w:t>236</w:t>
      </w:r>
      <w:r w:rsidR="00A36B2C">
        <w:rPr>
          <w:rFonts w:cs="Arial"/>
          <w:bCs/>
        </w:rPr>
        <w:t xml:space="preserve">k </w:t>
      </w:r>
      <w:r>
        <w:rPr>
          <w:rFonts w:cs="Arial"/>
          <w:bCs/>
        </w:rPr>
        <w:t xml:space="preserve">net overspend signers and interpreters, and subsistence to families </w:t>
      </w:r>
    </w:p>
    <w:p w14:paraId="5917AAD9" w14:textId="37427553" w:rsidR="00535A36" w:rsidRPr="00CB7869" w:rsidRDefault="00535A36" w:rsidP="00AF06B3">
      <w:pPr>
        <w:pStyle w:val="ListParagraph"/>
        <w:numPr>
          <w:ilvl w:val="1"/>
          <w:numId w:val="4"/>
        </w:numPr>
        <w:ind w:left="1276"/>
        <w:jc w:val="both"/>
        <w:rPr>
          <w:rFonts w:cs="Arial"/>
          <w:b/>
        </w:rPr>
      </w:pPr>
      <w:r>
        <w:rPr>
          <w:rFonts w:cs="Arial"/>
          <w:b/>
        </w:rPr>
        <w:t xml:space="preserve">Early Support Services </w:t>
      </w:r>
      <w:r>
        <w:rPr>
          <w:rFonts w:cs="Arial"/>
          <w:bCs/>
        </w:rPr>
        <w:t>- £1</w:t>
      </w:r>
      <w:r w:rsidR="00B24DC0">
        <w:rPr>
          <w:rFonts w:cs="Arial"/>
          <w:bCs/>
        </w:rPr>
        <w:t>2</w:t>
      </w:r>
      <w:r>
        <w:rPr>
          <w:rFonts w:cs="Arial"/>
          <w:bCs/>
        </w:rPr>
        <w:t xml:space="preserve">1k net overspend related to increased utilities costs. This is offset against the underspend in the </w:t>
      </w:r>
      <w:r w:rsidR="00930F7A">
        <w:rPr>
          <w:rFonts w:cs="Arial"/>
          <w:bCs/>
        </w:rPr>
        <w:t>non-pay</w:t>
      </w:r>
      <w:r>
        <w:rPr>
          <w:rFonts w:cs="Arial"/>
          <w:bCs/>
        </w:rPr>
        <w:t xml:space="preserve"> inflation budget held corporately.</w:t>
      </w:r>
    </w:p>
    <w:p w14:paraId="3B78DA21" w14:textId="756DD054" w:rsidR="00CB7869" w:rsidRPr="00CB7869" w:rsidRDefault="00CB7869" w:rsidP="00AF06B3">
      <w:pPr>
        <w:pStyle w:val="ListParagraph"/>
        <w:numPr>
          <w:ilvl w:val="1"/>
          <w:numId w:val="4"/>
        </w:numPr>
        <w:ind w:left="1276"/>
        <w:jc w:val="both"/>
        <w:rPr>
          <w:rFonts w:cs="Arial"/>
          <w:b/>
        </w:rPr>
      </w:pPr>
      <w:r>
        <w:rPr>
          <w:rFonts w:cs="Arial"/>
          <w:b/>
        </w:rPr>
        <w:t>Other pressures</w:t>
      </w:r>
      <w:r>
        <w:rPr>
          <w:rFonts w:cs="Arial"/>
          <w:bCs/>
        </w:rPr>
        <w:t xml:space="preserve"> - £</w:t>
      </w:r>
      <w:r w:rsidR="00535A36">
        <w:rPr>
          <w:rFonts w:cs="Arial"/>
          <w:bCs/>
        </w:rPr>
        <w:t>1</w:t>
      </w:r>
      <w:r w:rsidR="00B24DC0">
        <w:rPr>
          <w:rFonts w:cs="Arial"/>
          <w:bCs/>
        </w:rPr>
        <w:t>35</w:t>
      </w:r>
      <w:r>
        <w:rPr>
          <w:rFonts w:cs="Arial"/>
          <w:bCs/>
        </w:rPr>
        <w:t>k net overspend various pressures across the directorate</w:t>
      </w:r>
    </w:p>
    <w:p w14:paraId="2835047A" w14:textId="384CDEB7" w:rsidR="00CB7869" w:rsidRPr="00CB7869" w:rsidRDefault="00CB7869" w:rsidP="00AF06B3">
      <w:pPr>
        <w:pStyle w:val="ListParagraph"/>
        <w:numPr>
          <w:ilvl w:val="1"/>
          <w:numId w:val="4"/>
        </w:numPr>
        <w:ind w:left="1276"/>
        <w:jc w:val="both"/>
        <w:rPr>
          <w:rFonts w:cs="Arial"/>
          <w:b/>
        </w:rPr>
      </w:pPr>
      <w:r>
        <w:rPr>
          <w:rFonts w:cs="Arial"/>
          <w:b/>
        </w:rPr>
        <w:lastRenderedPageBreak/>
        <w:t>Draw down from reserves</w:t>
      </w:r>
      <w:r>
        <w:rPr>
          <w:rFonts w:cs="Arial"/>
          <w:bCs/>
        </w:rPr>
        <w:t xml:space="preserve"> - £2.117m draw down to partially mitigate pressures</w:t>
      </w:r>
    </w:p>
    <w:p w14:paraId="7808E99E" w14:textId="06F11332" w:rsidR="00CB7869" w:rsidRPr="00CB7869" w:rsidRDefault="00CB7869" w:rsidP="00AF06B3">
      <w:pPr>
        <w:pStyle w:val="ListParagraph"/>
        <w:numPr>
          <w:ilvl w:val="1"/>
          <w:numId w:val="4"/>
        </w:numPr>
        <w:ind w:left="1276"/>
        <w:jc w:val="both"/>
        <w:rPr>
          <w:rFonts w:cs="Arial"/>
          <w:b/>
        </w:rPr>
      </w:pPr>
      <w:r>
        <w:rPr>
          <w:rFonts w:cs="Arial"/>
          <w:b/>
        </w:rPr>
        <w:t xml:space="preserve">Use of </w:t>
      </w:r>
      <w:r w:rsidR="00751C64">
        <w:rPr>
          <w:rFonts w:cs="Arial"/>
          <w:b/>
        </w:rPr>
        <w:t>one-off</w:t>
      </w:r>
      <w:r>
        <w:rPr>
          <w:rFonts w:cs="Arial"/>
          <w:b/>
        </w:rPr>
        <w:t xml:space="preserve"> income</w:t>
      </w:r>
      <w:r>
        <w:rPr>
          <w:rFonts w:cs="Arial"/>
          <w:bCs/>
        </w:rPr>
        <w:t xml:space="preserve"> - £</w:t>
      </w:r>
      <w:r w:rsidR="00B24DC0">
        <w:rPr>
          <w:rFonts w:cs="Arial"/>
          <w:bCs/>
        </w:rPr>
        <w:t>858</w:t>
      </w:r>
      <w:r>
        <w:rPr>
          <w:rFonts w:cs="Arial"/>
          <w:bCs/>
        </w:rPr>
        <w:t>k to partially mitigate pressures</w:t>
      </w:r>
    </w:p>
    <w:p w14:paraId="3CFC5CD1" w14:textId="77777777" w:rsidR="00CB7869" w:rsidRPr="00CB7869" w:rsidRDefault="00CB7869" w:rsidP="00CB7869">
      <w:pPr>
        <w:jc w:val="both"/>
        <w:rPr>
          <w:rFonts w:cs="Arial"/>
          <w:b/>
          <w:color w:val="FF0000"/>
        </w:rPr>
      </w:pPr>
    </w:p>
    <w:p w14:paraId="731C182B" w14:textId="6EE808F1" w:rsidR="00951BDC" w:rsidRPr="0034115E" w:rsidRDefault="00951BDC" w:rsidP="00AF06B3">
      <w:pPr>
        <w:pStyle w:val="ListParagraph"/>
        <w:numPr>
          <w:ilvl w:val="0"/>
          <w:numId w:val="4"/>
        </w:numPr>
        <w:ind w:left="460" w:hanging="567"/>
        <w:jc w:val="both"/>
        <w:rPr>
          <w:rFonts w:cs="Arial"/>
          <w:b/>
          <w:bCs/>
          <w:color w:val="000000" w:themeColor="text1"/>
        </w:rPr>
      </w:pPr>
      <w:r w:rsidRPr="0034115E">
        <w:rPr>
          <w:rFonts w:cs="Arial"/>
          <w:b/>
          <w:bCs/>
          <w:color w:val="000000" w:themeColor="text1"/>
        </w:rPr>
        <w:t>Education Services</w:t>
      </w:r>
      <w:r w:rsidR="0034115E" w:rsidRPr="0034115E">
        <w:rPr>
          <w:rFonts w:cs="Arial"/>
          <w:b/>
          <w:bCs/>
          <w:color w:val="000000" w:themeColor="text1"/>
        </w:rPr>
        <w:t xml:space="preserve"> -</w:t>
      </w:r>
      <w:r w:rsidR="0034115E" w:rsidRPr="0034115E">
        <w:rPr>
          <w:rFonts w:cs="Arial"/>
          <w:color w:val="000000" w:themeColor="text1"/>
        </w:rPr>
        <w:t xml:space="preserve"> £</w:t>
      </w:r>
      <w:r w:rsidR="00B24DC0">
        <w:rPr>
          <w:rFonts w:cs="Arial"/>
          <w:color w:val="000000" w:themeColor="text1"/>
        </w:rPr>
        <w:t>274</w:t>
      </w:r>
      <w:r w:rsidR="0034115E" w:rsidRPr="0034115E">
        <w:rPr>
          <w:rFonts w:cs="Arial"/>
          <w:color w:val="000000" w:themeColor="text1"/>
        </w:rPr>
        <w:t>k net overspend</w:t>
      </w:r>
    </w:p>
    <w:p w14:paraId="3C9D8AB6" w14:textId="77777777" w:rsidR="00951BDC" w:rsidRPr="0034115E" w:rsidRDefault="00951BDC" w:rsidP="00951BDC">
      <w:pPr>
        <w:pStyle w:val="ListParagraph"/>
        <w:rPr>
          <w:rFonts w:cs="Arial"/>
          <w:b/>
          <w:color w:val="000000" w:themeColor="text1"/>
        </w:rPr>
      </w:pPr>
    </w:p>
    <w:p w14:paraId="2A71CAF1" w14:textId="1CA0E778" w:rsidR="00951BDC" w:rsidRPr="00B24DC0" w:rsidRDefault="00B94016" w:rsidP="008C6B1B">
      <w:pPr>
        <w:pStyle w:val="ListParagraph"/>
        <w:numPr>
          <w:ilvl w:val="1"/>
          <w:numId w:val="4"/>
        </w:numPr>
        <w:ind w:left="1276" w:hanging="425"/>
        <w:jc w:val="both"/>
        <w:rPr>
          <w:rFonts w:cs="Arial"/>
          <w:b/>
          <w:color w:val="000000" w:themeColor="text1"/>
        </w:rPr>
      </w:pPr>
      <w:r w:rsidRPr="00B24DC0">
        <w:rPr>
          <w:rFonts w:cs="Arial"/>
          <w:b/>
          <w:color w:val="000000" w:themeColor="text1"/>
        </w:rPr>
        <w:t xml:space="preserve">SEN Transport </w:t>
      </w:r>
      <w:r w:rsidR="00AF59F9" w:rsidRPr="00B24DC0">
        <w:rPr>
          <w:rFonts w:cs="Arial"/>
          <w:bCs/>
          <w:color w:val="000000" w:themeColor="text1"/>
        </w:rPr>
        <w:t xml:space="preserve">– </w:t>
      </w:r>
      <w:r w:rsidR="0034115E" w:rsidRPr="00B24DC0">
        <w:rPr>
          <w:rFonts w:cs="Arial"/>
          <w:bCs/>
          <w:color w:val="000000" w:themeColor="text1"/>
        </w:rPr>
        <w:t>£</w:t>
      </w:r>
      <w:r w:rsidR="00B24DC0" w:rsidRPr="00B24DC0">
        <w:rPr>
          <w:rFonts w:cs="Arial"/>
          <w:bCs/>
          <w:color w:val="000000" w:themeColor="text1"/>
        </w:rPr>
        <w:t>411</w:t>
      </w:r>
      <w:r w:rsidR="0034115E" w:rsidRPr="00B24DC0">
        <w:rPr>
          <w:rFonts w:cs="Arial"/>
          <w:bCs/>
          <w:color w:val="000000" w:themeColor="text1"/>
        </w:rPr>
        <w:t xml:space="preserve">k </w:t>
      </w:r>
      <w:r w:rsidR="00AF59F9" w:rsidRPr="00B24DC0">
        <w:rPr>
          <w:rFonts w:cs="Arial"/>
          <w:bCs/>
          <w:color w:val="000000" w:themeColor="text1"/>
        </w:rPr>
        <w:t>net</w:t>
      </w:r>
      <w:r w:rsidRPr="00B24DC0">
        <w:rPr>
          <w:rFonts w:cs="Arial"/>
          <w:bCs/>
          <w:color w:val="000000" w:themeColor="text1"/>
        </w:rPr>
        <w:t xml:space="preserve"> </w:t>
      </w:r>
      <w:r w:rsidR="0034115E" w:rsidRPr="00B24DC0">
        <w:rPr>
          <w:rFonts w:cs="Arial"/>
          <w:bCs/>
          <w:color w:val="000000" w:themeColor="text1"/>
        </w:rPr>
        <w:t>ov</w:t>
      </w:r>
      <w:r w:rsidRPr="00B24DC0">
        <w:rPr>
          <w:rFonts w:cs="Arial"/>
          <w:bCs/>
          <w:color w:val="000000" w:themeColor="text1"/>
        </w:rPr>
        <w:t>erspend</w:t>
      </w:r>
      <w:r w:rsidR="00AF59F9" w:rsidRPr="00B24DC0">
        <w:rPr>
          <w:rFonts w:cs="Arial"/>
          <w:bCs/>
          <w:color w:val="000000" w:themeColor="text1"/>
        </w:rPr>
        <w:t xml:space="preserve"> </w:t>
      </w:r>
      <w:r w:rsidR="0034115E" w:rsidRPr="00B24DC0">
        <w:rPr>
          <w:rFonts w:cs="Arial"/>
          <w:bCs/>
          <w:color w:val="000000" w:themeColor="text1"/>
        </w:rPr>
        <w:t xml:space="preserve">due to </w:t>
      </w:r>
      <w:r w:rsidR="00B24DC0" w:rsidRPr="00B24DC0">
        <w:rPr>
          <w:rFonts w:cs="Arial"/>
          <w:bCs/>
          <w:color w:val="000000" w:themeColor="text1"/>
        </w:rPr>
        <w:t>net</w:t>
      </w:r>
      <w:r w:rsidR="0034115E" w:rsidRPr="00B24DC0">
        <w:rPr>
          <w:rFonts w:cs="Arial"/>
          <w:bCs/>
          <w:color w:val="000000" w:themeColor="text1"/>
        </w:rPr>
        <w:t xml:space="preserve"> growth in the number of children and routes for the 2022-23 academic year. </w:t>
      </w:r>
    </w:p>
    <w:p w14:paraId="4668C358" w14:textId="06A2706B" w:rsidR="00951BDC" w:rsidRPr="0034115E" w:rsidRDefault="00951BDC" w:rsidP="00AF06B3">
      <w:pPr>
        <w:pStyle w:val="ListParagraph"/>
        <w:numPr>
          <w:ilvl w:val="1"/>
          <w:numId w:val="4"/>
        </w:numPr>
        <w:ind w:left="1276" w:hanging="425"/>
        <w:jc w:val="both"/>
        <w:rPr>
          <w:rFonts w:cs="Arial"/>
          <w:b/>
          <w:bCs/>
          <w:color w:val="000000" w:themeColor="text1"/>
        </w:rPr>
      </w:pPr>
      <w:r w:rsidRPr="0034115E">
        <w:rPr>
          <w:rFonts w:cs="Arial"/>
          <w:b/>
          <w:color w:val="000000" w:themeColor="text1"/>
        </w:rPr>
        <w:t xml:space="preserve">Other Education Services </w:t>
      </w:r>
      <w:r w:rsidRPr="0034115E">
        <w:rPr>
          <w:rFonts w:cs="Arial"/>
          <w:bCs/>
          <w:color w:val="000000" w:themeColor="text1"/>
        </w:rPr>
        <w:t>– net underspend £</w:t>
      </w:r>
      <w:r w:rsidR="0034115E" w:rsidRPr="0034115E">
        <w:rPr>
          <w:rFonts w:cs="Arial"/>
          <w:bCs/>
          <w:color w:val="000000" w:themeColor="text1"/>
        </w:rPr>
        <w:t>137k</w:t>
      </w:r>
      <w:r w:rsidRPr="0034115E">
        <w:rPr>
          <w:rFonts w:cs="Arial"/>
          <w:color w:val="000000" w:themeColor="text1"/>
        </w:rPr>
        <w:t xml:space="preserve"> mainly due to </w:t>
      </w:r>
      <w:r w:rsidR="00751C64" w:rsidRPr="0034115E">
        <w:rPr>
          <w:rFonts w:cs="Arial"/>
          <w:color w:val="000000" w:themeColor="text1"/>
        </w:rPr>
        <w:t>additional SLA</w:t>
      </w:r>
      <w:r w:rsidR="0034115E" w:rsidRPr="0034115E">
        <w:rPr>
          <w:rFonts w:cs="Arial"/>
          <w:color w:val="000000" w:themeColor="text1"/>
        </w:rPr>
        <w:t xml:space="preserve"> income</w:t>
      </w:r>
    </w:p>
    <w:p w14:paraId="285FCFA7" w14:textId="77777777" w:rsidR="00951BDC" w:rsidRPr="00CB7869" w:rsidRDefault="00951BDC" w:rsidP="00951BDC">
      <w:pPr>
        <w:pStyle w:val="ListParagraph"/>
        <w:rPr>
          <w:rFonts w:cs="Arial"/>
          <w:b/>
          <w:color w:val="FF0000"/>
        </w:rPr>
      </w:pPr>
    </w:p>
    <w:p w14:paraId="4FDFEF0B" w14:textId="4EE13125" w:rsidR="00542808" w:rsidRPr="00542808" w:rsidRDefault="00951BDC" w:rsidP="00AF06B3">
      <w:pPr>
        <w:pStyle w:val="ListParagraph"/>
        <w:numPr>
          <w:ilvl w:val="0"/>
          <w:numId w:val="4"/>
        </w:numPr>
        <w:suppressAutoHyphens/>
        <w:ind w:left="460" w:hanging="567"/>
        <w:jc w:val="both"/>
        <w:rPr>
          <w:rFonts w:cs="Arial"/>
          <w:b/>
          <w:color w:val="000000" w:themeColor="text1"/>
          <w:szCs w:val="24"/>
        </w:rPr>
      </w:pPr>
      <w:r w:rsidRPr="00B60857">
        <w:rPr>
          <w:rFonts w:cs="Arial"/>
          <w:b/>
          <w:color w:val="000000" w:themeColor="text1"/>
        </w:rPr>
        <w:t>Commissioning &amp; People</w:t>
      </w:r>
      <w:r w:rsidR="00B60857">
        <w:rPr>
          <w:rFonts w:cs="Arial"/>
          <w:b/>
          <w:color w:val="000000" w:themeColor="text1"/>
        </w:rPr>
        <w:t xml:space="preserve"> Services</w:t>
      </w:r>
      <w:r w:rsidRPr="00B60857">
        <w:rPr>
          <w:rFonts w:cs="Arial"/>
          <w:b/>
          <w:color w:val="000000" w:themeColor="text1"/>
        </w:rPr>
        <w:t xml:space="preserve"> Management </w:t>
      </w:r>
      <w:r w:rsidRPr="00B60857">
        <w:rPr>
          <w:rFonts w:cs="Arial"/>
          <w:bCs/>
          <w:color w:val="000000" w:themeColor="text1"/>
        </w:rPr>
        <w:t xml:space="preserve">– </w:t>
      </w:r>
      <w:r w:rsidR="00B60857" w:rsidRPr="00B60857">
        <w:rPr>
          <w:rFonts w:cs="Arial"/>
          <w:bCs/>
          <w:color w:val="000000" w:themeColor="text1"/>
        </w:rPr>
        <w:t xml:space="preserve">£188k </w:t>
      </w:r>
      <w:r w:rsidRPr="00B60857">
        <w:rPr>
          <w:rFonts w:cs="Arial"/>
          <w:bCs/>
          <w:color w:val="000000" w:themeColor="text1"/>
        </w:rPr>
        <w:t>net</w:t>
      </w:r>
      <w:r w:rsidR="007C00E4" w:rsidRPr="00B60857">
        <w:rPr>
          <w:rFonts w:cs="Arial"/>
          <w:bCs/>
          <w:color w:val="000000" w:themeColor="text1"/>
        </w:rPr>
        <w:t xml:space="preserve"> </w:t>
      </w:r>
      <w:r w:rsidR="00751C64" w:rsidRPr="00B60857">
        <w:rPr>
          <w:rFonts w:cs="Arial"/>
          <w:bCs/>
          <w:color w:val="000000" w:themeColor="text1"/>
        </w:rPr>
        <w:t>overspend. This</w:t>
      </w:r>
      <w:r w:rsidR="00B60857" w:rsidRPr="00B60857">
        <w:rPr>
          <w:rFonts w:cs="Arial"/>
          <w:bCs/>
          <w:color w:val="000000" w:themeColor="text1"/>
        </w:rPr>
        <w:t xml:space="preserve"> relates to a reduction in grant income £67k, staffing pressures in relation to the Mosaic Team and shortfall in income in the Safeguarding Team</w:t>
      </w:r>
    </w:p>
    <w:p w14:paraId="745F4D14" w14:textId="77777777" w:rsidR="00542808" w:rsidRDefault="00542808" w:rsidP="00542808">
      <w:pPr>
        <w:pStyle w:val="ListParagraph"/>
        <w:suppressAutoHyphens/>
        <w:ind w:left="460"/>
        <w:jc w:val="both"/>
        <w:rPr>
          <w:rFonts w:cs="Arial"/>
          <w:b/>
          <w:color w:val="000000" w:themeColor="text1"/>
          <w:szCs w:val="24"/>
        </w:rPr>
      </w:pPr>
    </w:p>
    <w:p w14:paraId="379FCB9A" w14:textId="5CE26591" w:rsidR="00542808" w:rsidRPr="00542808" w:rsidRDefault="00542808" w:rsidP="00AF06B3">
      <w:pPr>
        <w:pStyle w:val="ListParagraph"/>
        <w:numPr>
          <w:ilvl w:val="0"/>
          <w:numId w:val="4"/>
        </w:numPr>
        <w:suppressAutoHyphens/>
        <w:ind w:left="460" w:hanging="567"/>
        <w:jc w:val="both"/>
        <w:rPr>
          <w:rFonts w:cs="Arial"/>
          <w:b/>
          <w:color w:val="000000" w:themeColor="text1"/>
          <w:szCs w:val="24"/>
        </w:rPr>
      </w:pPr>
      <w:r w:rsidRPr="00542808">
        <w:rPr>
          <w:rFonts w:cs="Arial"/>
          <w:b/>
          <w:color w:val="000000" w:themeColor="text1"/>
          <w:szCs w:val="24"/>
        </w:rPr>
        <w:t>Dedicated Schools Grant</w:t>
      </w:r>
    </w:p>
    <w:p w14:paraId="6388318C" w14:textId="77777777" w:rsidR="00542808" w:rsidRPr="00542808" w:rsidRDefault="00542808" w:rsidP="00542808">
      <w:pPr>
        <w:pStyle w:val="ListParagraph"/>
        <w:suppressAutoHyphens/>
        <w:ind w:left="460"/>
        <w:jc w:val="both"/>
        <w:rPr>
          <w:rFonts w:cs="Arial"/>
          <w:b/>
          <w:color w:val="000000" w:themeColor="text1"/>
          <w:szCs w:val="24"/>
        </w:rPr>
      </w:pPr>
    </w:p>
    <w:p w14:paraId="4F15D122" w14:textId="2814BA1E" w:rsidR="00542808" w:rsidRPr="00542808" w:rsidRDefault="00EA30B3" w:rsidP="00AF06B3">
      <w:pPr>
        <w:pStyle w:val="ListParagraph"/>
        <w:numPr>
          <w:ilvl w:val="0"/>
          <w:numId w:val="4"/>
        </w:numPr>
        <w:suppressAutoHyphens/>
        <w:ind w:left="426" w:hanging="567"/>
        <w:jc w:val="both"/>
        <w:rPr>
          <w:rFonts w:cs="Arial"/>
          <w:color w:val="000000" w:themeColor="text1"/>
        </w:rPr>
      </w:pPr>
      <w:r w:rsidRPr="00542808">
        <w:rPr>
          <w:rFonts w:cs="Arial"/>
          <w:color w:val="000000" w:themeColor="text1"/>
          <w:szCs w:val="24"/>
        </w:rPr>
        <w:t>The Dedicated</w:t>
      </w:r>
      <w:r w:rsidR="00DC7888" w:rsidRPr="00542808">
        <w:rPr>
          <w:rFonts w:cs="Arial"/>
          <w:color w:val="000000" w:themeColor="text1"/>
          <w:szCs w:val="24"/>
        </w:rPr>
        <w:t xml:space="preserve"> Schools Grant (DSG) is a ring-fenced grant of which the maj</w:t>
      </w:r>
      <w:r w:rsidR="00B60857" w:rsidRPr="00542808">
        <w:rPr>
          <w:rFonts w:cs="Arial"/>
          <w:color w:val="000000" w:themeColor="text1"/>
          <w:szCs w:val="24"/>
        </w:rPr>
        <w:t>o</w:t>
      </w:r>
      <w:r w:rsidR="00DC7888" w:rsidRPr="00542808">
        <w:rPr>
          <w:rFonts w:cs="Arial"/>
          <w:color w:val="000000" w:themeColor="text1"/>
          <w:szCs w:val="24"/>
        </w:rPr>
        <w:t xml:space="preserve">rity is used to fund individual school budgets in maintained schools, </w:t>
      </w:r>
      <w:r w:rsidR="00751C64" w:rsidRPr="00542808">
        <w:rPr>
          <w:rFonts w:cs="Arial"/>
          <w:color w:val="000000" w:themeColor="text1"/>
          <w:szCs w:val="24"/>
        </w:rPr>
        <w:t>academies,</w:t>
      </w:r>
      <w:r w:rsidR="00DC7888" w:rsidRPr="00542808">
        <w:rPr>
          <w:rFonts w:cs="Arial"/>
          <w:color w:val="000000" w:themeColor="text1"/>
          <w:szCs w:val="24"/>
        </w:rPr>
        <w:t xml:space="preserve"> and free schools in Harrow. It also funds Early Years nursery free entitlement places for </w:t>
      </w:r>
      <w:r w:rsidR="00751C64" w:rsidRPr="00542808">
        <w:rPr>
          <w:rFonts w:cs="Arial"/>
          <w:color w:val="000000" w:themeColor="text1"/>
          <w:szCs w:val="24"/>
        </w:rPr>
        <w:t>2-, 3- and 4-year-olds</w:t>
      </w:r>
      <w:r w:rsidR="00DC7888" w:rsidRPr="00542808">
        <w:rPr>
          <w:rFonts w:cs="Arial"/>
          <w:color w:val="000000" w:themeColor="text1"/>
          <w:szCs w:val="24"/>
        </w:rPr>
        <w:t xml:space="preserve"> in maintained council nursery classes and private, </w:t>
      </w:r>
      <w:r w:rsidR="00751C64" w:rsidRPr="00542808">
        <w:rPr>
          <w:rFonts w:cs="Arial"/>
          <w:color w:val="000000" w:themeColor="text1"/>
          <w:szCs w:val="24"/>
        </w:rPr>
        <w:t>voluntary,</w:t>
      </w:r>
      <w:r w:rsidR="00DC7888" w:rsidRPr="00542808">
        <w:rPr>
          <w:rFonts w:cs="Arial"/>
          <w:color w:val="000000" w:themeColor="text1"/>
          <w:szCs w:val="24"/>
        </w:rPr>
        <w:t xml:space="preserve"> and independent (PVI) nurseries as well as provision for pupils with High Needs</w:t>
      </w:r>
      <w:r w:rsidR="00542808" w:rsidRPr="00542808">
        <w:rPr>
          <w:rFonts w:cs="Arial"/>
          <w:color w:val="000000" w:themeColor="text1"/>
          <w:szCs w:val="24"/>
        </w:rPr>
        <w:t>.</w:t>
      </w:r>
    </w:p>
    <w:p w14:paraId="3E299E82" w14:textId="77777777" w:rsidR="00542808" w:rsidRPr="00542808" w:rsidRDefault="00542808" w:rsidP="00542808">
      <w:pPr>
        <w:pStyle w:val="ListParagraph"/>
        <w:suppressAutoHyphens/>
        <w:ind w:left="426"/>
        <w:jc w:val="both"/>
        <w:rPr>
          <w:rFonts w:cs="Arial"/>
        </w:rPr>
      </w:pPr>
    </w:p>
    <w:p w14:paraId="677672BD" w14:textId="02275B0B" w:rsidR="00542808" w:rsidRDefault="00542808" w:rsidP="00AF06B3">
      <w:pPr>
        <w:pStyle w:val="ListParagraph"/>
        <w:numPr>
          <w:ilvl w:val="0"/>
          <w:numId w:val="4"/>
        </w:numPr>
        <w:suppressAutoHyphens/>
        <w:ind w:left="426" w:hanging="567"/>
        <w:jc w:val="both"/>
        <w:rPr>
          <w:rFonts w:cs="Arial"/>
        </w:rPr>
      </w:pPr>
      <w:r w:rsidRPr="00542808">
        <w:rPr>
          <w:rFonts w:cs="Arial"/>
        </w:rPr>
        <w:t>There is a projected overspend on the High Needs Block of £1.</w:t>
      </w:r>
      <w:r w:rsidR="00B24DC0">
        <w:rPr>
          <w:rFonts w:cs="Arial"/>
        </w:rPr>
        <w:t>09</w:t>
      </w:r>
      <w:r w:rsidRPr="00542808">
        <w:rPr>
          <w:rFonts w:cs="Arial"/>
        </w:rPr>
        <w:t>1m in 2022-23 which added to the cumulative deficit of £4.007m brought forward from previous years will take the total projected deficit at the end of March 2023 to £5.</w:t>
      </w:r>
      <w:r w:rsidR="00B24DC0">
        <w:rPr>
          <w:rFonts w:cs="Arial"/>
        </w:rPr>
        <w:t>09</w:t>
      </w:r>
      <w:r w:rsidRPr="00542808">
        <w:rPr>
          <w:rFonts w:cs="Arial"/>
        </w:rPr>
        <w:t>8m.</w:t>
      </w:r>
    </w:p>
    <w:p w14:paraId="34F9D7A0" w14:textId="77777777" w:rsidR="00B24DC0" w:rsidRDefault="00B24DC0" w:rsidP="00B24DC0">
      <w:pPr>
        <w:pStyle w:val="ListParagraph"/>
        <w:suppressAutoHyphens/>
        <w:ind w:left="426"/>
        <w:jc w:val="both"/>
        <w:rPr>
          <w:rFonts w:cs="Arial"/>
        </w:rPr>
      </w:pPr>
    </w:p>
    <w:p w14:paraId="3472CB21" w14:textId="3ADC6ACC" w:rsidR="00542808" w:rsidRDefault="00542808" w:rsidP="00AF06B3">
      <w:pPr>
        <w:pStyle w:val="ListParagraph"/>
        <w:numPr>
          <w:ilvl w:val="0"/>
          <w:numId w:val="4"/>
        </w:numPr>
        <w:suppressAutoHyphens/>
        <w:ind w:left="426" w:hanging="567"/>
        <w:jc w:val="both"/>
        <w:rPr>
          <w:rFonts w:cs="Arial"/>
        </w:rPr>
      </w:pPr>
      <w:r w:rsidRPr="00542808">
        <w:rPr>
          <w:rFonts w:cs="Arial"/>
        </w:rPr>
        <w:t>Any deficits an authority may have on its DSG account is expected to be carried forward and does not allow or require a local authority to cover this from its general reserves. This is a temporary arrangement for three years ending in March 2023.</w:t>
      </w:r>
    </w:p>
    <w:p w14:paraId="32E77819" w14:textId="77777777" w:rsidR="00542808" w:rsidRPr="00542808" w:rsidRDefault="00542808" w:rsidP="00542808">
      <w:pPr>
        <w:pStyle w:val="ListParagraph"/>
        <w:rPr>
          <w:rFonts w:cs="Arial"/>
        </w:rPr>
      </w:pPr>
    </w:p>
    <w:p w14:paraId="12AC2D97" w14:textId="5F84FC8B" w:rsidR="00542808" w:rsidRPr="00542808" w:rsidRDefault="00542808" w:rsidP="00AF06B3">
      <w:pPr>
        <w:pStyle w:val="ListParagraph"/>
        <w:numPr>
          <w:ilvl w:val="0"/>
          <w:numId w:val="4"/>
        </w:numPr>
        <w:suppressAutoHyphens/>
        <w:ind w:left="426" w:hanging="567"/>
        <w:jc w:val="both"/>
        <w:rPr>
          <w:rFonts w:cs="Arial"/>
        </w:rPr>
      </w:pPr>
      <w:r w:rsidRPr="00542808">
        <w:rPr>
          <w:rFonts w:cs="Arial"/>
        </w:rPr>
        <w:t>The DfE requires local authorities to explain their plans for bringing the DSG account back into balance. A recovery plan was drafted and discussed with Schools Forum in 202</w:t>
      </w:r>
      <w:r w:rsidR="00B24DC0">
        <w:rPr>
          <w:rFonts w:cs="Arial"/>
        </w:rPr>
        <w:t>1</w:t>
      </w:r>
      <w:r w:rsidRPr="00542808">
        <w:rPr>
          <w:rFonts w:cs="Arial"/>
        </w:rPr>
        <w:t>. This now needs to be updated to take account of current numbers of EHCPs and revised EHCP and financial projections. Despite the significant proposals and measures planned over the next ten years, the Deficit Management Plan shows that this will not fully mitigate the deficit. This is due to the following contributory factors:</w:t>
      </w:r>
    </w:p>
    <w:p w14:paraId="725DA905" w14:textId="77777777" w:rsidR="00542808" w:rsidRDefault="00542808" w:rsidP="00542808">
      <w:pPr>
        <w:pStyle w:val="ListParagraph"/>
        <w:suppressAutoHyphens/>
        <w:ind w:left="567"/>
        <w:rPr>
          <w:rFonts w:cs="Arial"/>
        </w:rPr>
      </w:pPr>
    </w:p>
    <w:p w14:paraId="0E2A1EFE"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historical underfunding</w:t>
      </w:r>
    </w:p>
    <w:p w14:paraId="00F39D04"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current budgets being based on historical budgets rather than historical spend</w:t>
      </w:r>
    </w:p>
    <w:p w14:paraId="1CDB5269"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extension of age range to include 0-5 and post 19</w:t>
      </w:r>
    </w:p>
    <w:p w14:paraId="24F54337"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current and projected formulaic funding which does not keep pace with demand</w:t>
      </w:r>
    </w:p>
    <w:p w14:paraId="70205561"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significant historical and projected growth in number of EHCPs</w:t>
      </w:r>
    </w:p>
    <w:p w14:paraId="23785BDE"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lastRenderedPageBreak/>
        <w:t>continued growth in complexity of pupils’ needs</w:t>
      </w:r>
    </w:p>
    <w:p w14:paraId="5B692BFD" w14:textId="77777777" w:rsidR="00542808" w:rsidRPr="004B7EAA" w:rsidRDefault="00542808" w:rsidP="00AF06B3">
      <w:pPr>
        <w:pStyle w:val="ListParagraph"/>
        <w:numPr>
          <w:ilvl w:val="0"/>
          <w:numId w:val="18"/>
        </w:numPr>
        <w:spacing w:after="200"/>
        <w:ind w:hanging="589"/>
        <w:contextualSpacing/>
        <w:rPr>
          <w:rFonts w:cs="Arial"/>
          <w:i/>
        </w:rPr>
      </w:pPr>
      <w:r w:rsidRPr="004B7EAA">
        <w:rPr>
          <w:rFonts w:cs="Arial"/>
        </w:rPr>
        <w:t>limitations about creating cost effective provision in borough due to capacity and site limitations</w:t>
      </w:r>
    </w:p>
    <w:p w14:paraId="39B29388" w14:textId="6CC968AB" w:rsidR="00A1516C" w:rsidRPr="00CB7869" w:rsidRDefault="00A1516C" w:rsidP="00542808">
      <w:pPr>
        <w:pStyle w:val="ListParagraph"/>
        <w:ind w:left="460"/>
        <w:jc w:val="both"/>
        <w:rPr>
          <w:rFonts w:cs="Arial"/>
          <w:b/>
          <w:bCs/>
          <w:color w:val="FF0000"/>
          <w:szCs w:val="24"/>
        </w:rPr>
      </w:pPr>
    </w:p>
    <w:p w14:paraId="15C97827" w14:textId="7B9A2FD1" w:rsidR="00672697" w:rsidRPr="00E971A9" w:rsidRDefault="00672697" w:rsidP="000D6CA4">
      <w:pPr>
        <w:ind w:firstLine="567"/>
        <w:jc w:val="both"/>
        <w:rPr>
          <w:rFonts w:cs="Arial"/>
        </w:rPr>
      </w:pPr>
      <w:r w:rsidRPr="00E971A9">
        <w:rPr>
          <w:rFonts w:cs="Arial"/>
          <w:b/>
          <w:bCs/>
          <w:szCs w:val="24"/>
        </w:rPr>
        <w:t xml:space="preserve">CORPORATE AND TECHNICAL </w:t>
      </w:r>
    </w:p>
    <w:p w14:paraId="3FA08C2B" w14:textId="77777777" w:rsidR="00EA30B3" w:rsidRPr="00E971A9" w:rsidRDefault="00EA30B3" w:rsidP="00EA30B3">
      <w:pPr>
        <w:pStyle w:val="ListParagraph"/>
        <w:rPr>
          <w:rFonts w:cs="Arial"/>
          <w:szCs w:val="24"/>
        </w:rPr>
      </w:pPr>
    </w:p>
    <w:p w14:paraId="4BAAF0E6" w14:textId="52FF4CF4" w:rsidR="00B37833" w:rsidRPr="00E971A9" w:rsidRDefault="00E971A9" w:rsidP="00AF06B3">
      <w:pPr>
        <w:pStyle w:val="ListParagraph"/>
        <w:numPr>
          <w:ilvl w:val="0"/>
          <w:numId w:val="4"/>
        </w:numPr>
        <w:ind w:left="460" w:hanging="567"/>
        <w:jc w:val="both"/>
        <w:rPr>
          <w:rFonts w:cs="Arial"/>
          <w:b/>
          <w:bCs/>
        </w:rPr>
      </w:pPr>
      <w:r w:rsidRPr="00E971A9">
        <w:rPr>
          <w:rFonts w:cs="Arial"/>
          <w:szCs w:val="24"/>
        </w:rPr>
        <w:t>As at Q</w:t>
      </w:r>
      <w:r w:rsidR="000A3FE2">
        <w:rPr>
          <w:rFonts w:cs="Arial"/>
          <w:szCs w:val="24"/>
        </w:rPr>
        <w:t>2</w:t>
      </w:r>
      <w:r w:rsidRPr="00E971A9">
        <w:rPr>
          <w:rFonts w:cs="Arial"/>
          <w:szCs w:val="24"/>
        </w:rPr>
        <w:t xml:space="preserve"> the forecast for Corporate &amp; Technical budgets is a net </w:t>
      </w:r>
      <w:r w:rsidR="00B852B6">
        <w:rPr>
          <w:rFonts w:cs="Arial"/>
          <w:szCs w:val="24"/>
        </w:rPr>
        <w:t>over</w:t>
      </w:r>
      <w:r w:rsidRPr="00E971A9">
        <w:rPr>
          <w:rFonts w:cs="Arial"/>
          <w:szCs w:val="24"/>
        </w:rPr>
        <w:t xml:space="preserve">spend of </w:t>
      </w:r>
      <w:r w:rsidR="00787709">
        <w:rPr>
          <w:rFonts w:cs="Arial"/>
          <w:szCs w:val="24"/>
        </w:rPr>
        <w:t>£5.794m</w:t>
      </w:r>
      <w:r w:rsidRPr="00E971A9">
        <w:rPr>
          <w:rFonts w:cs="Arial"/>
          <w:szCs w:val="24"/>
        </w:rPr>
        <w:t xml:space="preserve"> </w:t>
      </w:r>
      <w:r w:rsidR="00672697" w:rsidRPr="00E971A9">
        <w:rPr>
          <w:rFonts w:cs="Arial"/>
          <w:szCs w:val="24"/>
        </w:rPr>
        <w:t>as detailed below</w:t>
      </w:r>
      <w:r w:rsidR="0043268A" w:rsidRPr="00E971A9">
        <w:rPr>
          <w:rFonts w:cs="Arial"/>
          <w:szCs w:val="24"/>
        </w:rPr>
        <w:t>.</w:t>
      </w:r>
      <w:r w:rsidR="00EA30B3" w:rsidRPr="00E971A9">
        <w:rPr>
          <w:rFonts w:cs="Arial"/>
          <w:szCs w:val="24"/>
        </w:rPr>
        <w:t xml:space="preserve"> </w:t>
      </w:r>
    </w:p>
    <w:p w14:paraId="2EC70535" w14:textId="77777777" w:rsidR="00B37833" w:rsidRPr="00E971A9" w:rsidRDefault="00B37833" w:rsidP="00B37833">
      <w:pPr>
        <w:pStyle w:val="ListParagraph"/>
        <w:ind w:left="460"/>
        <w:jc w:val="both"/>
        <w:rPr>
          <w:rFonts w:cs="Arial"/>
          <w:b/>
          <w:bCs/>
        </w:rPr>
      </w:pPr>
    </w:p>
    <w:p w14:paraId="046A0CF1" w14:textId="77E8886F" w:rsidR="00EA6BA3" w:rsidRPr="00E971A9" w:rsidRDefault="00EA6BA3" w:rsidP="00B37833">
      <w:pPr>
        <w:pStyle w:val="ListParagraph"/>
        <w:ind w:left="460"/>
        <w:jc w:val="both"/>
        <w:rPr>
          <w:rFonts w:cs="Arial"/>
          <w:b/>
          <w:bCs/>
        </w:rPr>
      </w:pPr>
      <w:r w:rsidRPr="00E971A9">
        <w:rPr>
          <w:rFonts w:cs="Arial"/>
          <w:b/>
          <w:bCs/>
        </w:rPr>
        <w:t>Corporate Items</w:t>
      </w:r>
    </w:p>
    <w:p w14:paraId="74309101" w14:textId="1AEBFBF2" w:rsidR="00CE59BC" w:rsidRPr="00E971A9" w:rsidRDefault="00CE59BC" w:rsidP="00CE59BC">
      <w:pPr>
        <w:pStyle w:val="ListParagraph"/>
        <w:ind w:left="567"/>
        <w:jc w:val="both"/>
        <w:rPr>
          <w:rFonts w:cs="Arial"/>
          <w:bCs/>
          <w:szCs w:val="24"/>
        </w:rPr>
      </w:pPr>
    </w:p>
    <w:p w14:paraId="4E8E2BB3" w14:textId="63601B93" w:rsidR="00605CEF" w:rsidRPr="00900357" w:rsidRDefault="00E971A9" w:rsidP="00AD3759">
      <w:pPr>
        <w:pStyle w:val="ListParagraph"/>
        <w:numPr>
          <w:ilvl w:val="0"/>
          <w:numId w:val="4"/>
        </w:numPr>
        <w:ind w:left="460" w:hanging="567"/>
        <w:jc w:val="both"/>
        <w:rPr>
          <w:rFonts w:cs="Arial"/>
          <w:b/>
          <w:bCs/>
        </w:rPr>
      </w:pPr>
      <w:r w:rsidRPr="00E971A9">
        <w:rPr>
          <w:rFonts w:cs="Arial"/>
          <w:szCs w:val="24"/>
        </w:rPr>
        <w:t xml:space="preserve">As at </w:t>
      </w:r>
      <w:r w:rsidRPr="00900357">
        <w:rPr>
          <w:rFonts w:cs="Arial"/>
          <w:szCs w:val="24"/>
        </w:rPr>
        <w:t>Q</w:t>
      </w:r>
      <w:r w:rsidR="000A3FE2" w:rsidRPr="00900357">
        <w:rPr>
          <w:rFonts w:cs="Arial"/>
          <w:szCs w:val="24"/>
        </w:rPr>
        <w:t>2</w:t>
      </w:r>
      <w:r w:rsidRPr="00900357">
        <w:rPr>
          <w:rFonts w:cs="Arial"/>
          <w:szCs w:val="24"/>
        </w:rPr>
        <w:t xml:space="preserve"> the forecast is a balanced budget. </w:t>
      </w:r>
    </w:p>
    <w:p w14:paraId="2EBA3E4F" w14:textId="77777777" w:rsidR="00E971A9" w:rsidRPr="00900357" w:rsidRDefault="00E971A9" w:rsidP="00E971A9">
      <w:pPr>
        <w:pStyle w:val="ListParagraph"/>
        <w:ind w:left="460"/>
        <w:jc w:val="both"/>
        <w:rPr>
          <w:rFonts w:cs="Arial"/>
          <w:b/>
          <w:bCs/>
        </w:rPr>
      </w:pPr>
    </w:p>
    <w:p w14:paraId="70E57943" w14:textId="3E4740CF" w:rsidR="004558FE" w:rsidRPr="00900357" w:rsidRDefault="004558FE" w:rsidP="004558FE">
      <w:pPr>
        <w:pStyle w:val="ListParagraph"/>
        <w:ind w:left="460"/>
        <w:jc w:val="both"/>
        <w:rPr>
          <w:rFonts w:cs="Arial"/>
        </w:rPr>
      </w:pPr>
      <w:r w:rsidRPr="00900357">
        <w:rPr>
          <w:rFonts w:cs="Arial"/>
          <w:b/>
          <w:bCs/>
        </w:rPr>
        <w:t>Technical Budgets</w:t>
      </w:r>
    </w:p>
    <w:p w14:paraId="2E69FB6C" w14:textId="77777777" w:rsidR="004558FE" w:rsidRPr="00900357" w:rsidRDefault="004558FE" w:rsidP="004558FE">
      <w:pPr>
        <w:pStyle w:val="ListParagraph"/>
        <w:ind w:left="567"/>
        <w:jc w:val="both"/>
        <w:rPr>
          <w:rFonts w:cs="Arial"/>
        </w:rPr>
      </w:pPr>
    </w:p>
    <w:p w14:paraId="32DF3048" w14:textId="21761F18" w:rsidR="004558FE" w:rsidRPr="00900357" w:rsidRDefault="00E971A9" w:rsidP="00AF06B3">
      <w:pPr>
        <w:pStyle w:val="ListParagraph"/>
        <w:numPr>
          <w:ilvl w:val="0"/>
          <w:numId w:val="4"/>
        </w:numPr>
        <w:ind w:left="460" w:hanging="567"/>
        <w:jc w:val="both"/>
        <w:rPr>
          <w:rFonts w:cs="Arial"/>
        </w:rPr>
      </w:pPr>
      <w:r w:rsidRPr="00900357">
        <w:rPr>
          <w:rFonts w:cs="Arial"/>
        </w:rPr>
        <w:t>As at Q</w:t>
      </w:r>
      <w:r w:rsidR="000A3FE2" w:rsidRPr="00900357">
        <w:rPr>
          <w:rFonts w:cs="Arial"/>
        </w:rPr>
        <w:t>2</w:t>
      </w:r>
      <w:r w:rsidRPr="00900357">
        <w:rPr>
          <w:rFonts w:cs="Arial"/>
        </w:rPr>
        <w:t xml:space="preserve"> the forecast is </w:t>
      </w:r>
      <w:r w:rsidR="00787709" w:rsidRPr="00900357">
        <w:rPr>
          <w:rFonts w:cs="Arial"/>
        </w:rPr>
        <w:t xml:space="preserve">a net overspend of £4.340m. </w:t>
      </w:r>
      <w:r w:rsidR="00B852B6" w:rsidRPr="00900357">
        <w:rPr>
          <w:rFonts w:cs="Arial"/>
        </w:rPr>
        <w:t xml:space="preserve">The technical budgets assume a planned draw down from the MTFS Budget Planning Reserve of £14.711m however this has been removed from the forecast at Q2. A revised financial strategy is being </w:t>
      </w:r>
      <w:r w:rsidR="00E96A83" w:rsidRPr="00900357">
        <w:rPr>
          <w:rFonts w:cs="Arial"/>
        </w:rPr>
        <w:t>implemented</w:t>
      </w:r>
      <w:r w:rsidR="00B852B6" w:rsidRPr="00900357">
        <w:rPr>
          <w:rFonts w:cs="Arial"/>
        </w:rPr>
        <w:t xml:space="preserve"> to ensure the council manages within its budget envelope. Th</w:t>
      </w:r>
      <w:r w:rsidR="00755704" w:rsidRPr="00900357">
        <w:rPr>
          <w:rFonts w:cs="Arial"/>
        </w:rPr>
        <w:t xml:space="preserve">is has been partially offset by </w:t>
      </w:r>
      <w:r w:rsidR="00E96A83" w:rsidRPr="00900357">
        <w:rPr>
          <w:rFonts w:cs="Arial"/>
        </w:rPr>
        <w:t>underspends</w:t>
      </w:r>
      <w:r w:rsidR="00755704" w:rsidRPr="00900357">
        <w:rPr>
          <w:rFonts w:cs="Arial"/>
        </w:rPr>
        <w:t xml:space="preserve"> on capital financing and treasury management income.</w:t>
      </w:r>
    </w:p>
    <w:p w14:paraId="0DC65E82" w14:textId="0E24675D" w:rsidR="00E971A9" w:rsidRPr="00900357" w:rsidRDefault="00E971A9" w:rsidP="00E971A9">
      <w:pPr>
        <w:pStyle w:val="ListParagraph"/>
        <w:ind w:left="460"/>
        <w:jc w:val="both"/>
        <w:rPr>
          <w:rFonts w:cs="Arial"/>
        </w:rPr>
      </w:pPr>
    </w:p>
    <w:p w14:paraId="259E0EDD" w14:textId="727F672D" w:rsidR="00E971A9" w:rsidRPr="006A7467" w:rsidRDefault="00E971A9" w:rsidP="00E971A9">
      <w:pPr>
        <w:pStyle w:val="ListParagraph"/>
        <w:ind w:left="460"/>
        <w:jc w:val="both"/>
        <w:rPr>
          <w:rFonts w:cs="Arial"/>
          <w:b/>
          <w:bCs/>
        </w:rPr>
      </w:pPr>
      <w:r w:rsidRPr="00900357">
        <w:rPr>
          <w:rFonts w:cs="Arial"/>
          <w:b/>
          <w:bCs/>
        </w:rPr>
        <w:t xml:space="preserve">Pay &amp; </w:t>
      </w:r>
      <w:r w:rsidR="00930F7A" w:rsidRPr="00900357">
        <w:rPr>
          <w:rFonts w:cs="Arial"/>
          <w:b/>
          <w:bCs/>
        </w:rPr>
        <w:t>Non-Pay</w:t>
      </w:r>
      <w:r w:rsidRPr="00900357">
        <w:rPr>
          <w:rFonts w:cs="Arial"/>
          <w:b/>
          <w:bCs/>
        </w:rPr>
        <w:t xml:space="preserve"> Inflation Budgets</w:t>
      </w:r>
    </w:p>
    <w:p w14:paraId="74A5859A" w14:textId="77777777" w:rsidR="00E971A9" w:rsidRPr="006A7467" w:rsidRDefault="00E971A9" w:rsidP="00E971A9">
      <w:pPr>
        <w:pStyle w:val="ListParagraph"/>
        <w:ind w:left="460"/>
        <w:jc w:val="both"/>
        <w:rPr>
          <w:rFonts w:cs="Arial"/>
        </w:rPr>
      </w:pPr>
    </w:p>
    <w:p w14:paraId="4BF9EE5F" w14:textId="6A50E17D" w:rsidR="00EB52D3" w:rsidRPr="006A7467" w:rsidRDefault="00E971A9" w:rsidP="00AF06B3">
      <w:pPr>
        <w:pStyle w:val="ListParagraph"/>
        <w:numPr>
          <w:ilvl w:val="0"/>
          <w:numId w:val="4"/>
        </w:numPr>
        <w:ind w:left="460" w:hanging="567"/>
        <w:jc w:val="both"/>
        <w:rPr>
          <w:rFonts w:cs="Arial"/>
        </w:rPr>
      </w:pPr>
      <w:r w:rsidRPr="006A7467">
        <w:rPr>
          <w:rFonts w:cs="Arial"/>
        </w:rPr>
        <w:t>As at Q</w:t>
      </w:r>
      <w:r w:rsidR="000A3FE2">
        <w:rPr>
          <w:rFonts w:cs="Arial"/>
        </w:rPr>
        <w:t>2</w:t>
      </w:r>
      <w:r w:rsidRPr="006A7467">
        <w:rPr>
          <w:rFonts w:cs="Arial"/>
        </w:rPr>
        <w:t xml:space="preserve"> the pay and </w:t>
      </w:r>
      <w:r w:rsidR="00930F7A" w:rsidRPr="006A7467">
        <w:rPr>
          <w:rFonts w:cs="Arial"/>
        </w:rPr>
        <w:t>non-pay</w:t>
      </w:r>
      <w:r w:rsidRPr="006A7467">
        <w:rPr>
          <w:rFonts w:cs="Arial"/>
        </w:rPr>
        <w:t xml:space="preserve"> inflation budgets are held corporately. There is a net underspend </w:t>
      </w:r>
      <w:r w:rsidR="00A66B79" w:rsidRPr="006A7467">
        <w:rPr>
          <w:rFonts w:cs="Arial"/>
        </w:rPr>
        <w:t xml:space="preserve">on the </w:t>
      </w:r>
      <w:r w:rsidR="00930F7A" w:rsidRPr="006A7467">
        <w:rPr>
          <w:rFonts w:cs="Arial"/>
        </w:rPr>
        <w:t>non-pay</w:t>
      </w:r>
      <w:r w:rsidR="00A66B79" w:rsidRPr="006A7467">
        <w:rPr>
          <w:rFonts w:cs="Arial"/>
        </w:rPr>
        <w:t xml:space="preserve"> inflation budget of £2.6</w:t>
      </w:r>
      <w:r w:rsidR="000A3FE2">
        <w:rPr>
          <w:rFonts w:cs="Arial"/>
        </w:rPr>
        <w:t>16</w:t>
      </w:r>
      <w:r w:rsidR="00A66B79" w:rsidRPr="006A7467">
        <w:rPr>
          <w:rFonts w:cs="Arial"/>
        </w:rPr>
        <w:t xml:space="preserve">m which is offset by energy and fuel inflation pressures forecast in the directorates. </w:t>
      </w:r>
    </w:p>
    <w:p w14:paraId="336989D3" w14:textId="77777777" w:rsidR="00BA7B29" w:rsidRDefault="00BA7B29" w:rsidP="00BA7B29">
      <w:pPr>
        <w:pStyle w:val="ListParagraph"/>
        <w:ind w:left="460"/>
        <w:jc w:val="both"/>
        <w:rPr>
          <w:rFonts w:cs="Arial"/>
          <w:highlight w:val="yellow"/>
        </w:rPr>
      </w:pPr>
    </w:p>
    <w:p w14:paraId="3524A63E" w14:textId="755384CD" w:rsidR="00BA7B29" w:rsidRPr="003A742D" w:rsidRDefault="00BA7B29" w:rsidP="00BA7B29">
      <w:pPr>
        <w:pStyle w:val="ListParagraph"/>
        <w:numPr>
          <w:ilvl w:val="0"/>
          <w:numId w:val="4"/>
        </w:numPr>
        <w:ind w:left="460" w:hanging="567"/>
        <w:jc w:val="both"/>
        <w:rPr>
          <w:rFonts w:cs="Arial"/>
        </w:rPr>
      </w:pPr>
      <w:r w:rsidRPr="00BA7B29">
        <w:rPr>
          <w:rFonts w:cs="Arial"/>
        </w:rPr>
        <w:t xml:space="preserve">The pay inflation budget of £2m is projected to overspend by </w:t>
      </w:r>
      <w:r w:rsidR="00B40527">
        <w:rPr>
          <w:rFonts w:cs="Arial"/>
        </w:rPr>
        <w:t>£4.070m</w:t>
      </w:r>
      <w:r w:rsidRPr="003A742D">
        <w:rPr>
          <w:rFonts w:cs="Arial"/>
        </w:rPr>
        <w:t>.</w:t>
      </w:r>
      <w:r w:rsidR="000A3FE2">
        <w:rPr>
          <w:rFonts w:cs="Arial"/>
        </w:rPr>
        <w:t xml:space="preserve"> The estimated cost impact of the 2022-23 pay award is £</w:t>
      </w:r>
      <w:r w:rsidR="00B40527">
        <w:rPr>
          <w:rFonts w:cs="Arial"/>
        </w:rPr>
        <w:t>6.4</w:t>
      </w:r>
      <w:r w:rsidR="000A3FE2">
        <w:rPr>
          <w:rFonts w:cs="Arial"/>
        </w:rPr>
        <w:t>m which is partially offset by reduction in NI payments of £330k</w:t>
      </w:r>
      <w:r w:rsidR="00B40527">
        <w:rPr>
          <w:rFonts w:cs="Arial"/>
        </w:rPr>
        <w:t xml:space="preserve"> part year effect in 2022-23 (£800k full year effect)</w:t>
      </w:r>
      <w:r w:rsidR="000A3FE2">
        <w:rPr>
          <w:rFonts w:cs="Arial"/>
        </w:rPr>
        <w:t xml:space="preserve">. </w:t>
      </w:r>
    </w:p>
    <w:p w14:paraId="7143A6EC" w14:textId="77777777" w:rsidR="00573FF1" w:rsidRDefault="00573FF1" w:rsidP="00B37833">
      <w:pPr>
        <w:pStyle w:val="ListParagraph"/>
        <w:ind w:left="460"/>
        <w:jc w:val="both"/>
        <w:rPr>
          <w:rFonts w:cs="Arial"/>
          <w:b/>
          <w:bCs/>
        </w:rPr>
      </w:pPr>
    </w:p>
    <w:p w14:paraId="6FA4343F" w14:textId="5CC79FA0" w:rsidR="00B37833" w:rsidRPr="00A36B2C" w:rsidRDefault="00B37833" w:rsidP="00B37833">
      <w:pPr>
        <w:pStyle w:val="ListParagraph"/>
        <w:ind w:left="460"/>
        <w:jc w:val="both"/>
        <w:rPr>
          <w:rFonts w:cs="Arial"/>
          <w:b/>
          <w:bCs/>
        </w:rPr>
      </w:pPr>
      <w:r w:rsidRPr="00A36B2C">
        <w:rPr>
          <w:rFonts w:cs="Arial"/>
          <w:b/>
          <w:bCs/>
        </w:rPr>
        <w:t>Investment Properties</w:t>
      </w:r>
    </w:p>
    <w:p w14:paraId="09754655" w14:textId="77777777" w:rsidR="00B37833" w:rsidRPr="00A36B2C" w:rsidRDefault="00B37833" w:rsidP="00B37833">
      <w:pPr>
        <w:pStyle w:val="ListParagraph"/>
        <w:ind w:left="567"/>
        <w:jc w:val="both"/>
        <w:rPr>
          <w:rFonts w:cs="Arial"/>
          <w:bCs/>
          <w:szCs w:val="24"/>
        </w:rPr>
      </w:pPr>
    </w:p>
    <w:p w14:paraId="7020EA4E" w14:textId="067B98DF" w:rsidR="00B37833" w:rsidRPr="00A36B2C" w:rsidRDefault="00A36B2C" w:rsidP="00AF06B3">
      <w:pPr>
        <w:pStyle w:val="ListParagraph"/>
        <w:numPr>
          <w:ilvl w:val="0"/>
          <w:numId w:val="4"/>
        </w:numPr>
        <w:ind w:left="460" w:hanging="567"/>
        <w:jc w:val="both"/>
        <w:rPr>
          <w:rFonts w:cs="Arial"/>
          <w:b/>
          <w:bCs/>
        </w:rPr>
      </w:pPr>
      <w:r w:rsidRPr="00A36B2C">
        <w:rPr>
          <w:rFonts w:cs="Arial"/>
        </w:rPr>
        <w:t>As at Q</w:t>
      </w:r>
      <w:r w:rsidR="000A3FE2">
        <w:rPr>
          <w:rFonts w:cs="Arial"/>
        </w:rPr>
        <w:t>2</w:t>
      </w:r>
      <w:r w:rsidRPr="00A36B2C">
        <w:rPr>
          <w:rFonts w:cs="Arial"/>
        </w:rPr>
        <w:t xml:space="preserve"> the forecast </w:t>
      </w:r>
      <w:r w:rsidR="00B37833" w:rsidRPr="00A36B2C">
        <w:rPr>
          <w:rFonts w:cs="Arial"/>
        </w:rPr>
        <w:t>for investment properties is a net overspend of £</w:t>
      </w:r>
      <w:r w:rsidRPr="00A36B2C">
        <w:rPr>
          <w:rFonts w:cs="Arial"/>
        </w:rPr>
        <w:t>8</w:t>
      </w:r>
      <w:r w:rsidR="00707F54">
        <w:rPr>
          <w:rFonts w:cs="Arial"/>
        </w:rPr>
        <w:t>8</w:t>
      </w:r>
      <w:r w:rsidR="00B37833" w:rsidRPr="00A36B2C">
        <w:rPr>
          <w:rFonts w:cs="Arial"/>
        </w:rPr>
        <w:t>k. This is due to vacant space which results in loss of rental income.</w:t>
      </w:r>
      <w:r w:rsidRPr="00A36B2C">
        <w:rPr>
          <w:rFonts w:cs="Arial"/>
        </w:rPr>
        <w:t xml:space="preserve"> This will be funded by a draw down from the Investment Properties Reserve.</w:t>
      </w:r>
    </w:p>
    <w:p w14:paraId="39C9B2D7" w14:textId="77777777" w:rsidR="00B37833" w:rsidRPr="00A36B2C" w:rsidRDefault="00B37833" w:rsidP="00B37833">
      <w:pPr>
        <w:pStyle w:val="ListParagraph"/>
        <w:rPr>
          <w:rFonts w:cs="Arial"/>
          <w:b/>
          <w:bCs/>
        </w:rPr>
      </w:pPr>
    </w:p>
    <w:p w14:paraId="25CF3300" w14:textId="36E9CFD6" w:rsidR="00B37833" w:rsidRPr="003A742D" w:rsidRDefault="00B37833" w:rsidP="003A742D">
      <w:pPr>
        <w:pStyle w:val="ListParagraph"/>
        <w:numPr>
          <w:ilvl w:val="0"/>
          <w:numId w:val="4"/>
        </w:numPr>
        <w:ind w:left="460" w:hanging="567"/>
        <w:jc w:val="both"/>
        <w:rPr>
          <w:rFonts w:cs="Arial"/>
          <w:szCs w:val="24"/>
          <w:lang w:val="en-US"/>
        </w:rPr>
      </w:pPr>
      <w:r w:rsidRPr="00A36B2C">
        <w:rPr>
          <w:rFonts w:cs="Arial"/>
        </w:rPr>
        <w:t xml:space="preserve">From 2015 to 2019 the Council acquired seven investment properties at a cost of £48.2m. The portfolio consists of warehouses and other commercial and residential properties across the UK, as well as an office block in Harrow. </w:t>
      </w:r>
      <w:r w:rsidRPr="003A742D">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18E4450B" w14:textId="77777777" w:rsidR="00B37833" w:rsidRPr="00A36B2C" w:rsidRDefault="00B37833" w:rsidP="00B37833">
      <w:pPr>
        <w:pStyle w:val="ListParagraph"/>
        <w:rPr>
          <w:rFonts w:cs="Arial"/>
        </w:rPr>
      </w:pPr>
    </w:p>
    <w:p w14:paraId="083979C3" w14:textId="77777777" w:rsidR="00B37833" w:rsidRPr="00A36B2C" w:rsidRDefault="00B37833" w:rsidP="00AF06B3">
      <w:pPr>
        <w:pStyle w:val="ListParagraph"/>
        <w:numPr>
          <w:ilvl w:val="0"/>
          <w:numId w:val="4"/>
        </w:numPr>
        <w:ind w:left="460" w:hanging="567"/>
        <w:jc w:val="both"/>
        <w:rPr>
          <w:rFonts w:cs="Arial"/>
          <w:szCs w:val="24"/>
          <w:lang w:val="en-US"/>
        </w:rPr>
      </w:pPr>
      <w:r w:rsidRPr="00A36B2C">
        <w:rPr>
          <w:rFonts w:cs="Arial"/>
        </w:rPr>
        <w:lastRenderedPageBreak/>
        <w:t>The projected return from all but Kings House is currently on target despite COVID-19. There is vacant space in Kings House – part of the 3</w:t>
      </w:r>
      <w:r w:rsidRPr="00A36B2C">
        <w:rPr>
          <w:rFonts w:cs="Arial"/>
          <w:vertAlign w:val="superscript"/>
        </w:rPr>
        <w:t>rd</w:t>
      </w:r>
      <w:r w:rsidRPr="00A36B2C">
        <w:rPr>
          <w:rFonts w:cs="Arial"/>
        </w:rPr>
        <w:t xml:space="preserve"> floor has been vacant since acquisition and the remainder of the 3</w:t>
      </w:r>
      <w:r w:rsidRPr="00A36B2C">
        <w:rPr>
          <w:rFonts w:cs="Arial"/>
          <w:vertAlign w:val="superscript"/>
        </w:rPr>
        <w:t>rd</w:t>
      </w:r>
      <w:r w:rsidRPr="00A36B2C">
        <w:rPr>
          <w:rFonts w:cs="Arial"/>
        </w:rPr>
        <w:t xml:space="preserve"> floor became vacant in December 2020. This results in loss of rental receipts and the additional cost such as business rates and service charges which falls back to the council.</w:t>
      </w:r>
    </w:p>
    <w:p w14:paraId="2000DB40" w14:textId="77777777" w:rsidR="00B37833" w:rsidRPr="006A7467" w:rsidRDefault="00B37833" w:rsidP="00B37833">
      <w:pPr>
        <w:pStyle w:val="ListParagraph"/>
        <w:rPr>
          <w:rFonts w:cs="Arial"/>
        </w:rPr>
      </w:pPr>
    </w:p>
    <w:p w14:paraId="2566B455" w14:textId="0EEAA9DD" w:rsidR="00B37833" w:rsidRPr="006A7467" w:rsidRDefault="00B37833" w:rsidP="00AF06B3">
      <w:pPr>
        <w:pStyle w:val="ListParagraph"/>
        <w:numPr>
          <w:ilvl w:val="0"/>
          <w:numId w:val="4"/>
        </w:numPr>
        <w:ind w:left="460" w:hanging="567"/>
        <w:jc w:val="both"/>
        <w:rPr>
          <w:rFonts w:cs="Arial"/>
          <w:szCs w:val="24"/>
          <w:lang w:val="en-US"/>
        </w:rPr>
      </w:pPr>
      <w:r w:rsidRPr="006A7467">
        <w:rPr>
          <w:rFonts w:cs="Arial"/>
        </w:rPr>
        <w:t xml:space="preserve">The annual estimated impact of vacant space at Kings House in </w:t>
      </w:r>
      <w:r w:rsidR="00A36B2C" w:rsidRPr="006A7467">
        <w:rPr>
          <w:rFonts w:cs="Arial"/>
        </w:rPr>
        <w:t>2022-23</w:t>
      </w:r>
      <w:r w:rsidRPr="006A7467">
        <w:rPr>
          <w:rFonts w:cs="Arial"/>
        </w:rPr>
        <w:t xml:space="preserve"> is a loss of rental income and charges relating to vacant space in total of £369k. This is partly offset by earlier investment purchases achieving returns over and above their target hence the overall investment property </w:t>
      </w:r>
      <w:r w:rsidR="0056292F" w:rsidRPr="006A7467">
        <w:rPr>
          <w:rFonts w:cs="Arial"/>
        </w:rPr>
        <w:t>pressure of £</w:t>
      </w:r>
      <w:r w:rsidR="00A36B2C" w:rsidRPr="006A7467">
        <w:rPr>
          <w:rFonts w:cs="Arial"/>
        </w:rPr>
        <w:t>8</w:t>
      </w:r>
      <w:r w:rsidR="00707F54">
        <w:rPr>
          <w:rFonts w:cs="Arial"/>
        </w:rPr>
        <w:t>8</w:t>
      </w:r>
      <w:r w:rsidR="0056292F" w:rsidRPr="006A7467">
        <w:rPr>
          <w:rFonts w:cs="Arial"/>
        </w:rPr>
        <w:t>k</w:t>
      </w:r>
      <w:r w:rsidRPr="006A7467">
        <w:rPr>
          <w:rFonts w:cs="Arial"/>
        </w:rPr>
        <w:t xml:space="preserve">. </w:t>
      </w:r>
      <w:r w:rsidR="00D12F50" w:rsidRPr="006A7467">
        <w:rPr>
          <w:rFonts w:cs="Arial"/>
        </w:rPr>
        <w:t>This will be funded by a draw down from the Investment Property Reserve.</w:t>
      </w:r>
    </w:p>
    <w:p w14:paraId="08C45958" w14:textId="0BD435B6" w:rsidR="00B37833" w:rsidRPr="00CB7869" w:rsidRDefault="00B37833" w:rsidP="00B37833">
      <w:pPr>
        <w:pStyle w:val="ListParagraph"/>
        <w:ind w:left="460"/>
        <w:jc w:val="both"/>
        <w:rPr>
          <w:rFonts w:cs="Arial"/>
          <w:b/>
          <w:bCs/>
          <w:color w:val="FF0000"/>
        </w:rPr>
      </w:pPr>
    </w:p>
    <w:p w14:paraId="3E2596BB" w14:textId="7703E936" w:rsidR="003E498C" w:rsidRPr="00A36B2C" w:rsidRDefault="00755704" w:rsidP="003E498C">
      <w:pPr>
        <w:jc w:val="both"/>
        <w:rPr>
          <w:rFonts w:cs="Arial"/>
          <w:b/>
          <w:szCs w:val="24"/>
        </w:rPr>
      </w:pPr>
      <w:r>
        <w:rPr>
          <w:rFonts w:cs="Arial"/>
          <w:b/>
          <w:szCs w:val="24"/>
        </w:rPr>
        <w:t>R</w:t>
      </w:r>
      <w:r w:rsidR="003E498C" w:rsidRPr="00A36B2C">
        <w:rPr>
          <w:rFonts w:cs="Arial"/>
          <w:b/>
          <w:szCs w:val="24"/>
        </w:rPr>
        <w:t>ESERVES</w:t>
      </w:r>
    </w:p>
    <w:p w14:paraId="56386321" w14:textId="77777777" w:rsidR="003E498C" w:rsidRPr="00A36B2C" w:rsidRDefault="003E498C" w:rsidP="003E498C">
      <w:pPr>
        <w:jc w:val="both"/>
        <w:rPr>
          <w:rFonts w:cs="Arial"/>
          <w:bCs/>
          <w:szCs w:val="24"/>
        </w:rPr>
      </w:pPr>
    </w:p>
    <w:p w14:paraId="46A54DED" w14:textId="3F87F5B8" w:rsidR="00253051" w:rsidRPr="00CB7869" w:rsidRDefault="00253051" w:rsidP="00DD6F38">
      <w:pPr>
        <w:rPr>
          <w:rFonts w:cs="Arial"/>
          <w:b/>
          <w:bCs/>
          <w:color w:val="FF0000"/>
          <w:u w:val="single"/>
          <w:lang w:val="en-US"/>
        </w:rPr>
      </w:pPr>
      <w:r w:rsidRPr="00DD6F38">
        <w:rPr>
          <w:rFonts w:cs="Arial"/>
          <w:b/>
          <w:bCs/>
          <w:u w:val="single"/>
          <w:lang w:val="en-US"/>
        </w:rPr>
        <w:t xml:space="preserve">Table </w:t>
      </w:r>
      <w:r w:rsidR="00707F54">
        <w:rPr>
          <w:rFonts w:cs="Arial"/>
          <w:b/>
          <w:bCs/>
          <w:u w:val="single"/>
          <w:lang w:val="en-US"/>
        </w:rPr>
        <w:t>10</w:t>
      </w:r>
      <w:r w:rsidR="00C920C9" w:rsidRPr="00DD6F38">
        <w:rPr>
          <w:rFonts w:cs="Arial"/>
          <w:b/>
          <w:bCs/>
          <w:u w:val="single"/>
          <w:lang w:val="en-US"/>
        </w:rPr>
        <w:t xml:space="preserve">: </w:t>
      </w:r>
      <w:r w:rsidRPr="00DD6F38">
        <w:rPr>
          <w:rFonts w:cs="Arial"/>
          <w:b/>
          <w:bCs/>
          <w:u w:val="single"/>
          <w:lang w:val="en-US"/>
        </w:rPr>
        <w:t xml:space="preserve">Summary of Reserves </w:t>
      </w:r>
      <w:r w:rsidR="00542808" w:rsidRPr="00DD6F38">
        <w:rPr>
          <w:rFonts w:cs="Arial"/>
          <w:b/>
          <w:bCs/>
          <w:u w:val="single"/>
          <w:lang w:val="en-US"/>
        </w:rPr>
        <w:t>2022-23</w:t>
      </w:r>
    </w:p>
    <w:p w14:paraId="0C112F9E" w14:textId="3B05F597" w:rsidR="00C742E3" w:rsidRDefault="00C742E3" w:rsidP="00C742E3">
      <w:pPr>
        <w:pStyle w:val="ListParagraph"/>
        <w:ind w:left="567"/>
        <w:jc w:val="both"/>
        <w:rPr>
          <w:rFonts w:cs="Arial"/>
          <w:color w:val="FF0000"/>
          <w:lang w:val="en-US"/>
        </w:rPr>
      </w:pPr>
    </w:p>
    <w:p w14:paraId="6EAB7F70" w14:textId="24CDEC21" w:rsidR="00DD6F38" w:rsidRDefault="00573FF1" w:rsidP="00707F54">
      <w:pPr>
        <w:pStyle w:val="ListParagraph"/>
        <w:ind w:left="-567"/>
        <w:jc w:val="both"/>
        <w:rPr>
          <w:rFonts w:cs="Arial"/>
          <w:color w:val="FF0000"/>
          <w:lang w:val="en-US"/>
        </w:rPr>
      </w:pPr>
      <w:r w:rsidRPr="00573FF1">
        <w:rPr>
          <w:noProof/>
        </w:rPr>
        <w:drawing>
          <wp:inline distT="0" distB="0" distL="0" distR="0" wp14:anchorId="58482636" wp14:editId="056BDFB8">
            <wp:extent cx="6525233" cy="556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9859" cy="5566544"/>
                    </a:xfrm>
                    <a:prstGeom prst="rect">
                      <a:avLst/>
                    </a:prstGeom>
                    <a:noFill/>
                    <a:ln>
                      <a:noFill/>
                    </a:ln>
                  </pic:spPr>
                </pic:pic>
              </a:graphicData>
            </a:graphic>
          </wp:inline>
        </w:drawing>
      </w:r>
    </w:p>
    <w:p w14:paraId="676D34C4" w14:textId="77777777" w:rsidR="007C5E43" w:rsidRDefault="007C5E43" w:rsidP="00F90145">
      <w:pPr>
        <w:pStyle w:val="ListParagraph"/>
        <w:ind w:left="460"/>
        <w:jc w:val="both"/>
        <w:rPr>
          <w:rFonts w:cs="Arial"/>
          <w:b/>
          <w:bCs/>
        </w:rPr>
      </w:pPr>
    </w:p>
    <w:p w14:paraId="6609E038" w14:textId="638E40DB" w:rsidR="00F90145" w:rsidRPr="00F512A4" w:rsidRDefault="00F90145" w:rsidP="00F90145">
      <w:pPr>
        <w:pStyle w:val="ListParagraph"/>
        <w:ind w:left="460"/>
        <w:jc w:val="both"/>
        <w:rPr>
          <w:rFonts w:cs="Arial"/>
          <w:b/>
          <w:bCs/>
        </w:rPr>
      </w:pPr>
      <w:r w:rsidRPr="00F512A4">
        <w:rPr>
          <w:rFonts w:cs="Arial"/>
          <w:b/>
          <w:bCs/>
        </w:rPr>
        <w:lastRenderedPageBreak/>
        <w:t>GRANTS</w:t>
      </w:r>
    </w:p>
    <w:p w14:paraId="23EBC1DA" w14:textId="77777777" w:rsidR="00F90145" w:rsidRPr="00F512A4" w:rsidRDefault="00F90145" w:rsidP="00F90145">
      <w:pPr>
        <w:pStyle w:val="ListParagraph"/>
        <w:ind w:left="460"/>
        <w:jc w:val="both"/>
        <w:rPr>
          <w:rFonts w:cs="Arial"/>
          <w:b/>
          <w:bCs/>
        </w:rPr>
      </w:pPr>
    </w:p>
    <w:p w14:paraId="26788530" w14:textId="6E989E4D" w:rsidR="00F90145" w:rsidRPr="003C7F2F" w:rsidRDefault="00F90145" w:rsidP="00AF06B3">
      <w:pPr>
        <w:pStyle w:val="ListParagraph"/>
        <w:numPr>
          <w:ilvl w:val="0"/>
          <w:numId w:val="4"/>
        </w:numPr>
        <w:ind w:left="460" w:hanging="567"/>
        <w:jc w:val="both"/>
        <w:rPr>
          <w:rFonts w:cs="Arial"/>
          <w:b/>
          <w:bCs/>
        </w:rPr>
      </w:pPr>
      <w:r w:rsidRPr="00F512A4">
        <w:rPr>
          <w:rFonts w:cs="Arial"/>
        </w:rPr>
        <w:t xml:space="preserve">Attached at Appendix </w:t>
      </w:r>
      <w:r w:rsidR="00B5452E" w:rsidRPr="00F512A4">
        <w:rPr>
          <w:rFonts w:cs="Arial"/>
        </w:rPr>
        <w:t>1</w:t>
      </w:r>
      <w:r w:rsidRPr="00F512A4">
        <w:rPr>
          <w:rFonts w:cs="Arial"/>
        </w:rPr>
        <w:t xml:space="preserve"> is a schedule of all the </w:t>
      </w:r>
      <w:r w:rsidR="00076BFB" w:rsidRPr="00F512A4">
        <w:rPr>
          <w:rFonts w:cs="Arial"/>
        </w:rPr>
        <w:t xml:space="preserve">revenue grants </w:t>
      </w:r>
      <w:r w:rsidRPr="00F512A4">
        <w:rPr>
          <w:rFonts w:cs="Arial"/>
        </w:rPr>
        <w:t xml:space="preserve">the Council </w:t>
      </w:r>
      <w:r w:rsidR="00EE2675" w:rsidRPr="00F512A4">
        <w:rPr>
          <w:rFonts w:cs="Arial"/>
        </w:rPr>
        <w:t>expects to receive</w:t>
      </w:r>
      <w:r w:rsidRPr="00F512A4">
        <w:rPr>
          <w:rFonts w:cs="Arial"/>
        </w:rPr>
        <w:t xml:space="preserve"> in 202</w:t>
      </w:r>
      <w:r w:rsidR="00542808" w:rsidRPr="00F512A4">
        <w:rPr>
          <w:rFonts w:cs="Arial"/>
        </w:rPr>
        <w:t>2</w:t>
      </w:r>
      <w:r w:rsidRPr="00F512A4">
        <w:rPr>
          <w:rFonts w:cs="Arial"/>
        </w:rPr>
        <w:t>-2</w:t>
      </w:r>
      <w:r w:rsidR="00542808" w:rsidRPr="00F512A4">
        <w:rPr>
          <w:rFonts w:cs="Arial"/>
        </w:rPr>
        <w:t>3</w:t>
      </w:r>
      <w:r w:rsidRPr="00F512A4">
        <w:rPr>
          <w:rFonts w:cs="Arial"/>
        </w:rPr>
        <w:t xml:space="preserve">. </w:t>
      </w:r>
      <w:r w:rsidR="00076BFB" w:rsidRPr="00F512A4">
        <w:rPr>
          <w:rFonts w:cs="Arial"/>
        </w:rPr>
        <w:t>The majority of these grants are received and paid out and do</w:t>
      </w:r>
      <w:r w:rsidR="005E717F">
        <w:rPr>
          <w:rFonts w:cs="Arial"/>
        </w:rPr>
        <w:t xml:space="preserve"> not</w:t>
      </w:r>
      <w:r w:rsidR="00076BFB" w:rsidRPr="00F512A4">
        <w:rPr>
          <w:rFonts w:cs="Arial"/>
        </w:rPr>
        <w:t xml:space="preserve"> impact on the bottom line for example Dedicated Schools Grant £143m which is paid out to education providers and Housing Benefit Subsidy £117m which is paid to Housing Benefit Claimants.</w:t>
      </w:r>
    </w:p>
    <w:p w14:paraId="6CF2C181" w14:textId="38C41E75" w:rsidR="003C7F2F" w:rsidRDefault="003C7F2F" w:rsidP="003C7F2F">
      <w:pPr>
        <w:pStyle w:val="ListParagraph"/>
        <w:ind w:left="460"/>
        <w:jc w:val="both"/>
        <w:rPr>
          <w:rFonts w:cs="Arial"/>
          <w:b/>
          <w:bCs/>
        </w:rPr>
      </w:pPr>
    </w:p>
    <w:p w14:paraId="6B97CDED" w14:textId="77777777" w:rsidR="00A556C0" w:rsidRPr="00735479" w:rsidRDefault="00C57DF6" w:rsidP="00AF06B3">
      <w:pPr>
        <w:pStyle w:val="ListParagraph"/>
        <w:numPr>
          <w:ilvl w:val="0"/>
          <w:numId w:val="2"/>
        </w:numPr>
        <w:tabs>
          <w:tab w:val="left" w:pos="567"/>
        </w:tabs>
        <w:ind w:left="567" w:hanging="567"/>
        <w:jc w:val="both"/>
        <w:rPr>
          <w:rFonts w:cs="Arial"/>
          <w:b/>
          <w:szCs w:val="24"/>
          <w:u w:val="single"/>
        </w:rPr>
      </w:pPr>
      <w:r w:rsidRPr="00735479">
        <w:rPr>
          <w:rFonts w:cs="Arial"/>
          <w:b/>
          <w:szCs w:val="24"/>
        </w:rPr>
        <w:t xml:space="preserve"> </w:t>
      </w:r>
      <w:r w:rsidRPr="00735479">
        <w:rPr>
          <w:rFonts w:cs="Arial"/>
          <w:b/>
          <w:szCs w:val="24"/>
          <w:u w:val="single"/>
        </w:rPr>
        <w:t>C</w:t>
      </w:r>
      <w:r w:rsidR="00603BA2" w:rsidRPr="00735479">
        <w:rPr>
          <w:rFonts w:cs="Arial"/>
          <w:b/>
          <w:szCs w:val="24"/>
          <w:u w:val="single"/>
        </w:rPr>
        <w:t>APITAL PROGRAMME</w:t>
      </w:r>
    </w:p>
    <w:p w14:paraId="2BBA28AC" w14:textId="77777777" w:rsidR="00A556C0" w:rsidRPr="00735479" w:rsidRDefault="00A556C0" w:rsidP="00A556C0">
      <w:pPr>
        <w:tabs>
          <w:tab w:val="left" w:pos="567"/>
        </w:tabs>
        <w:jc w:val="both"/>
        <w:rPr>
          <w:rFonts w:cs="Arial"/>
          <w:b/>
          <w:szCs w:val="24"/>
          <w:u w:val="single"/>
        </w:rPr>
      </w:pPr>
    </w:p>
    <w:p w14:paraId="1F432B6A" w14:textId="366FE449" w:rsidR="002D1874" w:rsidRPr="00735479" w:rsidRDefault="001C512F" w:rsidP="00AF06B3">
      <w:pPr>
        <w:pStyle w:val="ListParagraph"/>
        <w:numPr>
          <w:ilvl w:val="0"/>
          <w:numId w:val="2"/>
        </w:numPr>
        <w:tabs>
          <w:tab w:val="left" w:pos="567"/>
        </w:tabs>
        <w:ind w:left="567" w:hanging="567"/>
        <w:jc w:val="both"/>
        <w:rPr>
          <w:rFonts w:cs="Arial"/>
          <w:b/>
          <w:szCs w:val="24"/>
          <w:u w:val="single"/>
        </w:rPr>
      </w:pPr>
      <w:r w:rsidRPr="00735479">
        <w:rPr>
          <w:rFonts w:cs="Arial"/>
          <w:szCs w:val="24"/>
        </w:rPr>
        <w:t xml:space="preserve">The </w:t>
      </w:r>
      <w:r w:rsidR="00D04F65" w:rsidRPr="00735479">
        <w:rPr>
          <w:rFonts w:cs="Arial"/>
          <w:szCs w:val="24"/>
        </w:rPr>
        <w:t xml:space="preserve">revised capital budget for </w:t>
      </w:r>
      <w:r w:rsidR="00735479" w:rsidRPr="00735479">
        <w:rPr>
          <w:rFonts w:cs="Arial"/>
          <w:szCs w:val="24"/>
        </w:rPr>
        <w:t>2022-23</w:t>
      </w:r>
      <w:r w:rsidR="00C8102B" w:rsidRPr="00735479">
        <w:rPr>
          <w:rFonts w:cs="Arial"/>
          <w:szCs w:val="24"/>
        </w:rPr>
        <w:t xml:space="preserve"> </w:t>
      </w:r>
      <w:r w:rsidR="00D04F65" w:rsidRPr="00735479">
        <w:rPr>
          <w:rFonts w:cs="Arial"/>
          <w:szCs w:val="24"/>
        </w:rPr>
        <w:t xml:space="preserve">is </w:t>
      </w:r>
      <w:r w:rsidR="00BC0021" w:rsidRPr="00735479">
        <w:rPr>
          <w:rFonts w:cs="Arial"/>
          <w:bCs/>
          <w:szCs w:val="24"/>
        </w:rPr>
        <w:t>£</w:t>
      </w:r>
      <w:r w:rsidR="00735479" w:rsidRPr="00735479">
        <w:rPr>
          <w:rFonts w:cs="Arial"/>
          <w:bCs/>
          <w:szCs w:val="24"/>
        </w:rPr>
        <w:t>154.253m</w:t>
      </w:r>
      <w:r w:rsidR="00BC0021" w:rsidRPr="00735479">
        <w:rPr>
          <w:rFonts w:cs="Arial"/>
          <w:bCs/>
          <w:szCs w:val="24"/>
        </w:rPr>
        <w:t xml:space="preserve"> </w:t>
      </w:r>
      <w:r w:rsidR="00D62AA2" w:rsidRPr="00735479">
        <w:rPr>
          <w:rFonts w:cs="Arial"/>
          <w:bCs/>
          <w:szCs w:val="24"/>
        </w:rPr>
        <w:t>as set out at Table</w:t>
      </w:r>
      <w:r w:rsidR="00C920C9" w:rsidRPr="00735479">
        <w:rPr>
          <w:rFonts w:cs="Arial"/>
          <w:bCs/>
          <w:szCs w:val="24"/>
        </w:rPr>
        <w:t xml:space="preserve"> </w:t>
      </w:r>
      <w:r w:rsidR="002E0F2C">
        <w:rPr>
          <w:rFonts w:cs="Arial"/>
          <w:bCs/>
          <w:szCs w:val="24"/>
        </w:rPr>
        <w:t>11</w:t>
      </w:r>
      <w:r w:rsidR="002F500F">
        <w:rPr>
          <w:rFonts w:cs="Arial"/>
          <w:bCs/>
          <w:szCs w:val="24"/>
        </w:rPr>
        <w:t xml:space="preserve"> and in more detail at Appendix 2</w:t>
      </w:r>
      <w:r w:rsidR="001546BF" w:rsidRPr="00735479">
        <w:rPr>
          <w:rFonts w:cs="Arial"/>
          <w:bCs/>
          <w:szCs w:val="24"/>
        </w:rPr>
        <w:t>:</w:t>
      </w:r>
    </w:p>
    <w:p w14:paraId="42923961" w14:textId="77777777" w:rsidR="00DD6F38" w:rsidRDefault="00DD6F38" w:rsidP="004052E3">
      <w:pPr>
        <w:ind w:left="567" w:hanging="567"/>
        <w:rPr>
          <w:rFonts w:cs="Arial"/>
          <w:b/>
          <w:szCs w:val="24"/>
        </w:rPr>
      </w:pPr>
    </w:p>
    <w:p w14:paraId="2936A4C0" w14:textId="35F1DC5C" w:rsidR="00923DC1" w:rsidRPr="00F51A83" w:rsidRDefault="004052E3" w:rsidP="004052E3">
      <w:pPr>
        <w:ind w:left="567" w:hanging="567"/>
        <w:rPr>
          <w:rFonts w:cs="Arial"/>
          <w:b/>
          <w:szCs w:val="24"/>
          <w:u w:val="single"/>
        </w:rPr>
      </w:pPr>
      <w:r w:rsidRPr="00F51A83">
        <w:rPr>
          <w:rFonts w:cs="Arial"/>
          <w:b/>
          <w:szCs w:val="24"/>
          <w:u w:val="single"/>
        </w:rPr>
        <w:t xml:space="preserve">Table </w:t>
      </w:r>
      <w:r w:rsidR="002E0F2C">
        <w:rPr>
          <w:rFonts w:cs="Arial"/>
          <w:b/>
          <w:szCs w:val="24"/>
          <w:u w:val="single"/>
        </w:rPr>
        <w:t>11</w:t>
      </w:r>
      <w:r w:rsidRPr="00F51A83">
        <w:rPr>
          <w:rFonts w:cs="Arial"/>
          <w:b/>
          <w:szCs w:val="24"/>
          <w:u w:val="single"/>
        </w:rPr>
        <w:t>: Capital Programme Budget 2022-23 Q</w:t>
      </w:r>
      <w:r w:rsidR="002E0F2C">
        <w:rPr>
          <w:rFonts w:cs="Arial"/>
          <w:b/>
          <w:szCs w:val="24"/>
          <w:u w:val="single"/>
        </w:rPr>
        <w:t>2</w:t>
      </w:r>
    </w:p>
    <w:p w14:paraId="087E9BBD" w14:textId="77777777" w:rsidR="007C5E43" w:rsidRDefault="007C5E43" w:rsidP="00AA1332">
      <w:pPr>
        <w:ind w:hanging="567"/>
        <w:rPr>
          <w:rFonts w:cs="Arial"/>
          <w:b/>
          <w:color w:val="FF0000"/>
          <w:szCs w:val="24"/>
        </w:rPr>
      </w:pPr>
    </w:p>
    <w:p w14:paraId="1E04C938" w14:textId="48B68E30" w:rsidR="0081366B" w:rsidRDefault="005E717F" w:rsidP="00AA1332">
      <w:pPr>
        <w:ind w:hanging="567"/>
        <w:rPr>
          <w:rFonts w:cs="Arial"/>
          <w:b/>
          <w:color w:val="FF0000"/>
          <w:szCs w:val="24"/>
        </w:rPr>
      </w:pPr>
      <w:r w:rsidRPr="005E717F">
        <w:rPr>
          <w:noProof/>
        </w:rPr>
        <w:drawing>
          <wp:inline distT="0" distB="0" distL="0" distR="0" wp14:anchorId="5BE05BA9" wp14:editId="56FC2113">
            <wp:extent cx="6651783" cy="3803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56575" cy="3806390"/>
                    </a:xfrm>
                    <a:prstGeom prst="rect">
                      <a:avLst/>
                    </a:prstGeom>
                    <a:noFill/>
                    <a:ln>
                      <a:noFill/>
                    </a:ln>
                  </pic:spPr>
                </pic:pic>
              </a:graphicData>
            </a:graphic>
          </wp:inline>
        </w:drawing>
      </w:r>
      <w:r w:rsidR="00923DC1" w:rsidRPr="00CB7869">
        <w:rPr>
          <w:rFonts w:cs="Arial"/>
          <w:b/>
          <w:color w:val="FF0000"/>
          <w:szCs w:val="24"/>
        </w:rPr>
        <w:tab/>
      </w:r>
    </w:p>
    <w:p w14:paraId="51A41E4C" w14:textId="77777777" w:rsidR="00972F0A" w:rsidRPr="00972F0A" w:rsidRDefault="00735479" w:rsidP="00972F0A">
      <w:pPr>
        <w:pStyle w:val="ListParagraph"/>
        <w:numPr>
          <w:ilvl w:val="0"/>
          <w:numId w:val="2"/>
        </w:numPr>
        <w:tabs>
          <w:tab w:val="left" w:pos="567"/>
        </w:tabs>
        <w:ind w:left="567" w:right="140" w:hanging="567"/>
        <w:contextualSpacing/>
        <w:jc w:val="both"/>
        <w:rPr>
          <w:rFonts w:cs="Arial"/>
          <w:bCs/>
          <w:szCs w:val="24"/>
        </w:rPr>
      </w:pPr>
      <w:r w:rsidRPr="00972F0A">
        <w:rPr>
          <w:rFonts w:cs="Arial"/>
          <w:bCs/>
          <w:szCs w:val="24"/>
        </w:rPr>
        <w:t>As at Q</w:t>
      </w:r>
      <w:r w:rsidR="002E0F2C" w:rsidRPr="00972F0A">
        <w:rPr>
          <w:rFonts w:cs="Arial"/>
          <w:bCs/>
          <w:szCs w:val="24"/>
        </w:rPr>
        <w:t>2</w:t>
      </w:r>
      <w:r w:rsidRPr="00972F0A">
        <w:rPr>
          <w:rFonts w:cs="Arial"/>
          <w:bCs/>
          <w:szCs w:val="24"/>
        </w:rPr>
        <w:t xml:space="preserve"> the </w:t>
      </w:r>
      <w:r w:rsidR="00972F0A" w:rsidRPr="00972F0A">
        <w:rPr>
          <w:rFonts w:cs="Arial"/>
          <w:bCs/>
          <w:szCs w:val="24"/>
        </w:rPr>
        <w:t>general fund capital programme budget in 2022-23 is £101.808m. The net forecast position on the capital budget at Q2 is £52.724m which represents 52% of the total capital programme budget. The variance of £49.082m is made up of proposed slippage of £48.857m and an underspend of £225k.</w:t>
      </w:r>
    </w:p>
    <w:p w14:paraId="330158AF" w14:textId="77777777" w:rsidR="00972F0A" w:rsidRDefault="00972F0A" w:rsidP="00972F0A">
      <w:pPr>
        <w:pStyle w:val="ListParagraph"/>
        <w:tabs>
          <w:tab w:val="left" w:pos="567"/>
        </w:tabs>
        <w:ind w:left="567" w:right="140"/>
        <w:contextualSpacing/>
        <w:jc w:val="both"/>
        <w:rPr>
          <w:rFonts w:cs="Arial"/>
          <w:bCs/>
          <w:szCs w:val="24"/>
        </w:rPr>
      </w:pPr>
    </w:p>
    <w:p w14:paraId="79068448" w14:textId="202B2A45" w:rsidR="00972F0A" w:rsidRPr="00972F0A" w:rsidRDefault="00972F0A" w:rsidP="00972F0A">
      <w:pPr>
        <w:pStyle w:val="ListParagraph"/>
        <w:numPr>
          <w:ilvl w:val="0"/>
          <w:numId w:val="2"/>
        </w:numPr>
        <w:tabs>
          <w:tab w:val="left" w:pos="567"/>
        </w:tabs>
        <w:ind w:left="567" w:right="140" w:hanging="567"/>
        <w:contextualSpacing/>
        <w:jc w:val="both"/>
        <w:rPr>
          <w:rFonts w:cs="Arial"/>
          <w:bCs/>
          <w:szCs w:val="24"/>
        </w:rPr>
      </w:pPr>
      <w:r w:rsidRPr="00972F0A">
        <w:rPr>
          <w:rFonts w:cs="Arial"/>
          <w:bCs/>
          <w:szCs w:val="24"/>
        </w:rPr>
        <w:t>The Housing Revenue Account (HRA) capital programme budget is £52.446m. The net forecast position on the HRA capital budget at Q2 is £34.454m which represents 66% of the total HRA capital programme budget. The variance of £17.991m is made up of proposed slippage of £13.880m and a net underspend of £4.111m.</w:t>
      </w:r>
    </w:p>
    <w:p w14:paraId="2E01B36C" w14:textId="5CE3E9A2" w:rsidR="00A556C0" w:rsidRPr="009F16FD" w:rsidRDefault="00A556C0" w:rsidP="00800A69">
      <w:pPr>
        <w:ind w:left="567" w:right="140"/>
        <w:rPr>
          <w:rFonts w:cs="Arial"/>
          <w:b/>
          <w:szCs w:val="24"/>
          <w:u w:val="single"/>
        </w:rPr>
      </w:pPr>
      <w:r w:rsidRPr="009F16FD">
        <w:rPr>
          <w:rFonts w:cs="Arial"/>
          <w:b/>
          <w:szCs w:val="24"/>
          <w:u w:val="single"/>
        </w:rPr>
        <w:lastRenderedPageBreak/>
        <w:t>RESOURCES</w:t>
      </w:r>
    </w:p>
    <w:p w14:paraId="112C16C2" w14:textId="77777777" w:rsidR="001859C2" w:rsidRPr="009F16FD" w:rsidRDefault="001859C2" w:rsidP="001859C2">
      <w:pPr>
        <w:pStyle w:val="ListParagraph"/>
        <w:tabs>
          <w:tab w:val="left" w:pos="567"/>
        </w:tabs>
        <w:ind w:left="567" w:right="140"/>
        <w:contextualSpacing/>
        <w:jc w:val="both"/>
        <w:rPr>
          <w:rFonts w:cs="Arial"/>
          <w:szCs w:val="24"/>
        </w:rPr>
      </w:pPr>
    </w:p>
    <w:p w14:paraId="24CC7BFC" w14:textId="2BF70472" w:rsidR="00EF5870" w:rsidRPr="0095082B" w:rsidRDefault="00BB63EC" w:rsidP="00BB63EC">
      <w:pPr>
        <w:pStyle w:val="ListParagraph"/>
        <w:numPr>
          <w:ilvl w:val="0"/>
          <w:numId w:val="2"/>
        </w:numPr>
        <w:tabs>
          <w:tab w:val="left" w:pos="567"/>
        </w:tabs>
        <w:ind w:left="567" w:right="140" w:hanging="567"/>
        <w:contextualSpacing/>
        <w:jc w:val="both"/>
        <w:rPr>
          <w:rFonts w:cs="Arial"/>
          <w:b/>
          <w:szCs w:val="24"/>
          <w:lang w:val="en-US"/>
        </w:rPr>
      </w:pPr>
      <w:r w:rsidRPr="009F16FD">
        <w:rPr>
          <w:rFonts w:cs="Arial"/>
          <w:szCs w:val="24"/>
        </w:rPr>
        <w:t>As at Q</w:t>
      </w:r>
      <w:r w:rsidR="009F16FD" w:rsidRPr="009F16FD">
        <w:rPr>
          <w:rFonts w:cs="Arial"/>
          <w:szCs w:val="24"/>
        </w:rPr>
        <w:t>2</w:t>
      </w:r>
      <w:r w:rsidRPr="009F16FD">
        <w:rPr>
          <w:rFonts w:cs="Arial"/>
          <w:szCs w:val="24"/>
        </w:rPr>
        <w:t xml:space="preserve"> the projected spend </w:t>
      </w:r>
      <w:r w:rsidR="009F16FD" w:rsidRPr="009F16FD">
        <w:rPr>
          <w:rFonts w:cs="Arial"/>
          <w:szCs w:val="24"/>
        </w:rPr>
        <w:t xml:space="preserve">is £11.222m which represents 96% of the capital budget. The variance of £440k relates to the Digital Improvement programme replacement of Careline devices delay in delivery due to a worldwide shortage of </w:t>
      </w:r>
      <w:r w:rsidR="009F16FD" w:rsidRPr="0095082B">
        <w:rPr>
          <w:rFonts w:cs="Arial"/>
          <w:szCs w:val="24"/>
        </w:rPr>
        <w:t>components for this specific equipment.</w:t>
      </w:r>
    </w:p>
    <w:p w14:paraId="5394F500" w14:textId="1487E93A" w:rsidR="003C7F2F" w:rsidRPr="0095082B" w:rsidRDefault="003C7F2F" w:rsidP="003634DA">
      <w:pPr>
        <w:ind w:firstLine="567"/>
        <w:jc w:val="both"/>
        <w:rPr>
          <w:rFonts w:cs="Arial"/>
          <w:b/>
          <w:szCs w:val="24"/>
          <w:u w:val="single"/>
          <w:lang w:val="en-US"/>
        </w:rPr>
      </w:pPr>
    </w:p>
    <w:p w14:paraId="74B75AF2" w14:textId="2B8F004F" w:rsidR="00B329CE" w:rsidRPr="0095082B" w:rsidRDefault="002543B8" w:rsidP="003634DA">
      <w:pPr>
        <w:ind w:firstLine="567"/>
        <w:jc w:val="both"/>
        <w:rPr>
          <w:rFonts w:cs="Arial"/>
          <w:b/>
          <w:szCs w:val="24"/>
          <w:u w:val="single"/>
          <w:lang w:val="en-US"/>
        </w:rPr>
      </w:pPr>
      <w:r w:rsidRPr="0095082B">
        <w:rPr>
          <w:rFonts w:cs="Arial"/>
          <w:b/>
          <w:szCs w:val="24"/>
          <w:u w:val="single"/>
          <w:lang w:val="en-US"/>
        </w:rPr>
        <w:t>PLACE</w:t>
      </w:r>
    </w:p>
    <w:p w14:paraId="371908BB" w14:textId="3A5A0348" w:rsidR="000C14C0" w:rsidRPr="002E0F2C" w:rsidRDefault="000C14C0" w:rsidP="000C14C0">
      <w:pPr>
        <w:pStyle w:val="ListParagraph"/>
        <w:tabs>
          <w:tab w:val="left" w:pos="567"/>
        </w:tabs>
        <w:ind w:left="567"/>
        <w:jc w:val="both"/>
        <w:rPr>
          <w:color w:val="FF0000"/>
          <w:szCs w:val="24"/>
        </w:rPr>
      </w:pPr>
    </w:p>
    <w:p w14:paraId="2419CA40" w14:textId="34DF4BEB" w:rsidR="005A0F94" w:rsidRPr="00B16AB3" w:rsidRDefault="007464E7" w:rsidP="00070C86">
      <w:pPr>
        <w:pStyle w:val="ListParagraph"/>
        <w:numPr>
          <w:ilvl w:val="0"/>
          <w:numId w:val="2"/>
        </w:numPr>
        <w:tabs>
          <w:tab w:val="left" w:pos="567"/>
        </w:tabs>
        <w:ind w:left="567" w:right="140" w:hanging="567"/>
        <w:contextualSpacing/>
        <w:jc w:val="both"/>
        <w:rPr>
          <w:rFonts w:cs="Arial"/>
          <w:bCs/>
          <w:szCs w:val="24"/>
        </w:rPr>
      </w:pPr>
      <w:r w:rsidRPr="00B16AB3">
        <w:rPr>
          <w:rFonts w:cs="Arial"/>
          <w:bCs/>
          <w:szCs w:val="24"/>
        </w:rPr>
        <w:t>As at Q</w:t>
      </w:r>
      <w:r w:rsidR="00B16AB3" w:rsidRPr="00B16AB3">
        <w:rPr>
          <w:rFonts w:cs="Arial"/>
          <w:bCs/>
          <w:szCs w:val="24"/>
        </w:rPr>
        <w:t>2</w:t>
      </w:r>
      <w:r w:rsidRPr="00B16AB3">
        <w:rPr>
          <w:rFonts w:cs="Arial"/>
          <w:bCs/>
          <w:szCs w:val="24"/>
        </w:rPr>
        <w:t xml:space="preserve"> the projected spend is £</w:t>
      </w:r>
      <w:r w:rsidR="00B16AB3" w:rsidRPr="00B16AB3">
        <w:rPr>
          <w:rFonts w:cs="Arial"/>
          <w:bCs/>
          <w:szCs w:val="24"/>
        </w:rPr>
        <w:t>35.392</w:t>
      </w:r>
      <w:r w:rsidRPr="00B16AB3">
        <w:rPr>
          <w:rFonts w:cs="Arial"/>
          <w:bCs/>
          <w:szCs w:val="24"/>
        </w:rPr>
        <w:t xml:space="preserve"> which represents </w:t>
      </w:r>
      <w:r w:rsidR="00B16AB3" w:rsidRPr="00B16AB3">
        <w:rPr>
          <w:rFonts w:cs="Arial"/>
          <w:bCs/>
          <w:szCs w:val="24"/>
        </w:rPr>
        <w:t>57</w:t>
      </w:r>
      <w:r w:rsidRPr="00B16AB3">
        <w:rPr>
          <w:rFonts w:cs="Arial"/>
          <w:bCs/>
          <w:szCs w:val="24"/>
        </w:rPr>
        <w:t xml:space="preserve">% of the capital budget. </w:t>
      </w:r>
      <w:r w:rsidR="002000B9" w:rsidRPr="00B16AB3">
        <w:rPr>
          <w:bCs/>
          <w:szCs w:val="24"/>
        </w:rPr>
        <w:t xml:space="preserve">Of the variance to budget of </w:t>
      </w:r>
      <w:r w:rsidRPr="00B16AB3">
        <w:rPr>
          <w:bCs/>
          <w:szCs w:val="24"/>
        </w:rPr>
        <w:t>£</w:t>
      </w:r>
      <w:r w:rsidR="00B16AB3" w:rsidRPr="00B16AB3">
        <w:rPr>
          <w:bCs/>
          <w:szCs w:val="24"/>
        </w:rPr>
        <w:t>26.564m</w:t>
      </w:r>
      <w:r w:rsidR="002000B9" w:rsidRPr="00B16AB3">
        <w:rPr>
          <w:bCs/>
          <w:szCs w:val="24"/>
        </w:rPr>
        <w:t>, a total of £</w:t>
      </w:r>
      <w:r w:rsidR="00B16AB3" w:rsidRPr="00B16AB3">
        <w:rPr>
          <w:bCs/>
          <w:szCs w:val="24"/>
        </w:rPr>
        <w:t>26.339m</w:t>
      </w:r>
      <w:r w:rsidR="002000B9" w:rsidRPr="00B16AB3">
        <w:rPr>
          <w:bCs/>
          <w:szCs w:val="24"/>
        </w:rPr>
        <w:t xml:space="preserve"> of funding will be slipped to </w:t>
      </w:r>
      <w:r w:rsidRPr="00B16AB3">
        <w:rPr>
          <w:bCs/>
          <w:szCs w:val="24"/>
        </w:rPr>
        <w:t>2023-24.</w:t>
      </w:r>
      <w:r w:rsidR="002000B9" w:rsidRPr="00B16AB3">
        <w:rPr>
          <w:bCs/>
          <w:szCs w:val="24"/>
        </w:rPr>
        <w:t xml:space="preserve"> The underspend of £</w:t>
      </w:r>
      <w:r w:rsidR="00B16AB3" w:rsidRPr="00B16AB3">
        <w:rPr>
          <w:bCs/>
          <w:szCs w:val="24"/>
        </w:rPr>
        <w:t>225k</w:t>
      </w:r>
      <w:r w:rsidR="002000B9" w:rsidRPr="00B16AB3">
        <w:rPr>
          <w:bCs/>
          <w:szCs w:val="24"/>
        </w:rPr>
        <w:t xml:space="preserve"> results from project</w:t>
      </w:r>
      <w:r w:rsidRPr="00B16AB3">
        <w:rPr>
          <w:bCs/>
          <w:szCs w:val="24"/>
        </w:rPr>
        <w:t>s no longer going ahead.</w:t>
      </w:r>
    </w:p>
    <w:p w14:paraId="59D8AAA8" w14:textId="77777777" w:rsidR="005A0F94" w:rsidRPr="00B16AB3" w:rsidRDefault="005A0F94" w:rsidP="005A0F94">
      <w:pPr>
        <w:pStyle w:val="ListParagraph"/>
        <w:tabs>
          <w:tab w:val="left" w:pos="567"/>
        </w:tabs>
        <w:ind w:left="567" w:right="140"/>
        <w:contextualSpacing/>
        <w:jc w:val="both"/>
        <w:rPr>
          <w:rFonts w:cs="Arial"/>
          <w:bCs/>
          <w:szCs w:val="24"/>
        </w:rPr>
      </w:pPr>
    </w:p>
    <w:p w14:paraId="72962F49" w14:textId="5C527ABC" w:rsidR="005A0F94" w:rsidRPr="00B16AB3" w:rsidRDefault="005A0F94" w:rsidP="005A0F94">
      <w:pPr>
        <w:pStyle w:val="ListParagraph"/>
        <w:tabs>
          <w:tab w:val="left" w:pos="567"/>
        </w:tabs>
        <w:ind w:left="567" w:right="140"/>
        <w:contextualSpacing/>
        <w:jc w:val="both"/>
        <w:rPr>
          <w:rFonts w:cs="Arial"/>
          <w:b/>
          <w:szCs w:val="24"/>
        </w:rPr>
      </w:pPr>
      <w:r w:rsidRPr="00B16AB3">
        <w:rPr>
          <w:rFonts w:cs="Arial"/>
          <w:b/>
          <w:szCs w:val="24"/>
        </w:rPr>
        <w:t>Environment</w:t>
      </w:r>
    </w:p>
    <w:p w14:paraId="06A0FBEF" w14:textId="77777777" w:rsidR="005A0F94" w:rsidRPr="00B16AB3" w:rsidRDefault="005A0F94" w:rsidP="005A0F94">
      <w:pPr>
        <w:pStyle w:val="ListParagraph"/>
        <w:rPr>
          <w:rFonts w:cs="Arial"/>
          <w:bCs/>
          <w:szCs w:val="24"/>
        </w:rPr>
      </w:pPr>
    </w:p>
    <w:p w14:paraId="24B58DF3" w14:textId="48DA5FF7" w:rsidR="005A0F94" w:rsidRPr="00B16AB3" w:rsidRDefault="005A0F94" w:rsidP="005A0F94">
      <w:pPr>
        <w:pStyle w:val="ListParagraph"/>
        <w:numPr>
          <w:ilvl w:val="0"/>
          <w:numId w:val="2"/>
        </w:numPr>
        <w:tabs>
          <w:tab w:val="left" w:pos="567"/>
        </w:tabs>
        <w:ind w:left="567" w:right="140" w:hanging="567"/>
        <w:contextualSpacing/>
        <w:jc w:val="both"/>
        <w:rPr>
          <w:rFonts w:cs="Arial"/>
          <w:bCs/>
          <w:szCs w:val="24"/>
        </w:rPr>
      </w:pPr>
      <w:r w:rsidRPr="00B16AB3">
        <w:rPr>
          <w:rFonts w:cs="Arial"/>
          <w:bCs/>
          <w:szCs w:val="24"/>
        </w:rPr>
        <w:t>The services forecast to spend £</w:t>
      </w:r>
      <w:r w:rsidR="00B16AB3" w:rsidRPr="00B16AB3">
        <w:rPr>
          <w:rFonts w:cs="Arial"/>
          <w:bCs/>
          <w:szCs w:val="24"/>
        </w:rPr>
        <w:t>17.380m</w:t>
      </w:r>
      <w:r w:rsidRPr="00B16AB3">
        <w:rPr>
          <w:rFonts w:cs="Arial"/>
          <w:bCs/>
          <w:szCs w:val="24"/>
        </w:rPr>
        <w:t xml:space="preserve"> against a budget of £29.651m. £</w:t>
      </w:r>
      <w:r w:rsidR="00B16AB3" w:rsidRPr="00B16AB3">
        <w:rPr>
          <w:rFonts w:cs="Arial"/>
          <w:bCs/>
          <w:szCs w:val="24"/>
        </w:rPr>
        <w:t>12.271m</w:t>
      </w:r>
      <w:r w:rsidRPr="00B16AB3">
        <w:rPr>
          <w:rFonts w:cs="Arial"/>
          <w:bCs/>
          <w:szCs w:val="24"/>
        </w:rPr>
        <w:t xml:space="preserve"> is forecast to be slipped to 2023-24. </w:t>
      </w:r>
    </w:p>
    <w:p w14:paraId="594F499B" w14:textId="77777777" w:rsidR="005A0F94" w:rsidRPr="00516573" w:rsidRDefault="005A0F94" w:rsidP="005A0F94">
      <w:pPr>
        <w:pStyle w:val="ListParagraph"/>
        <w:tabs>
          <w:tab w:val="left" w:pos="567"/>
        </w:tabs>
        <w:ind w:left="1440" w:right="140"/>
        <w:contextualSpacing/>
        <w:jc w:val="both"/>
        <w:rPr>
          <w:rFonts w:cs="Arial"/>
          <w:bCs/>
          <w:szCs w:val="24"/>
        </w:rPr>
      </w:pPr>
    </w:p>
    <w:p w14:paraId="0E47B9FB" w14:textId="47DFACFA" w:rsidR="005A0F94" w:rsidRPr="00516573" w:rsidRDefault="005A0F94" w:rsidP="001B1846">
      <w:pPr>
        <w:pStyle w:val="ListParagraph"/>
        <w:numPr>
          <w:ilvl w:val="1"/>
          <w:numId w:val="2"/>
        </w:numPr>
        <w:tabs>
          <w:tab w:val="left" w:pos="1134"/>
        </w:tabs>
        <w:ind w:left="1134" w:right="140" w:hanging="567"/>
        <w:contextualSpacing/>
        <w:jc w:val="both"/>
        <w:rPr>
          <w:rFonts w:cs="Arial"/>
          <w:bCs/>
          <w:szCs w:val="24"/>
        </w:rPr>
      </w:pPr>
      <w:r w:rsidRPr="00516573">
        <w:rPr>
          <w:rFonts w:cs="Arial"/>
          <w:b/>
          <w:bCs/>
          <w:szCs w:val="24"/>
        </w:rPr>
        <w:t>Highway Programme</w:t>
      </w:r>
      <w:r w:rsidRPr="00516573">
        <w:rPr>
          <w:rFonts w:cs="Arial"/>
          <w:szCs w:val="24"/>
        </w:rPr>
        <w:t xml:space="preserve"> </w:t>
      </w:r>
      <w:r w:rsidR="00930F7A" w:rsidRPr="00516573">
        <w:rPr>
          <w:rFonts w:cs="Arial"/>
          <w:szCs w:val="24"/>
        </w:rPr>
        <w:t>- £</w:t>
      </w:r>
      <w:r w:rsidR="00516573" w:rsidRPr="00516573">
        <w:rPr>
          <w:rFonts w:cs="Arial"/>
          <w:szCs w:val="24"/>
        </w:rPr>
        <w:t xml:space="preserve">4.768m </w:t>
      </w:r>
      <w:r w:rsidRPr="00516573">
        <w:rPr>
          <w:rFonts w:cs="Arial"/>
          <w:szCs w:val="24"/>
        </w:rPr>
        <w:t>slippage</w:t>
      </w:r>
      <w:r w:rsidR="00516573" w:rsidRPr="00516573">
        <w:rPr>
          <w:rFonts w:cs="Arial"/>
          <w:szCs w:val="24"/>
        </w:rPr>
        <w:t xml:space="preserve"> and </w:t>
      </w:r>
      <w:r w:rsidR="00516573" w:rsidRPr="00516573">
        <w:rPr>
          <w:rFonts w:cs="Arial"/>
          <w:b/>
          <w:bCs/>
          <w:szCs w:val="24"/>
        </w:rPr>
        <w:t>Street Lighting</w:t>
      </w:r>
      <w:r w:rsidR="00516573" w:rsidRPr="00516573">
        <w:rPr>
          <w:rFonts w:cs="Arial"/>
          <w:szCs w:val="24"/>
        </w:rPr>
        <w:t xml:space="preserve"> - £1.500m slippage</w:t>
      </w:r>
      <w:r w:rsidRPr="00516573">
        <w:rPr>
          <w:rFonts w:cs="Arial"/>
          <w:szCs w:val="24"/>
        </w:rPr>
        <w:t xml:space="preserve">. </w:t>
      </w:r>
      <w:r w:rsidR="00516573" w:rsidRPr="00516573">
        <w:rPr>
          <w:rFonts w:cs="Arial"/>
          <w:szCs w:val="24"/>
        </w:rPr>
        <w:t xml:space="preserve">This is due to the delay in commencing the 2022-23 </w:t>
      </w:r>
      <w:r w:rsidR="00930F7A" w:rsidRPr="00516573">
        <w:rPr>
          <w:rFonts w:cs="Arial"/>
          <w:szCs w:val="24"/>
        </w:rPr>
        <w:t>programme</w:t>
      </w:r>
      <w:r w:rsidR="00516573" w:rsidRPr="00516573">
        <w:rPr>
          <w:rFonts w:cs="Arial"/>
          <w:szCs w:val="24"/>
        </w:rPr>
        <w:t xml:space="preserve">. A highway asset management strategy is being developed, meaning that any further capital investment on highways and street lighting will be subject to the approval of the strategy </w:t>
      </w:r>
      <w:r w:rsidR="007C279A">
        <w:rPr>
          <w:rFonts w:cs="Arial"/>
          <w:szCs w:val="24"/>
        </w:rPr>
        <w:t>which is planned to go to Cabinet in February 2023</w:t>
      </w:r>
    </w:p>
    <w:p w14:paraId="7ABA9EFB" w14:textId="2670FC01" w:rsidR="005A0F94" w:rsidRDefault="005A0F94" w:rsidP="001B1846">
      <w:pPr>
        <w:pStyle w:val="ListParagraph"/>
        <w:tabs>
          <w:tab w:val="left" w:pos="1134"/>
        </w:tabs>
        <w:ind w:left="1134" w:hanging="567"/>
        <w:rPr>
          <w:rFonts w:cs="Arial"/>
          <w:b/>
          <w:bCs/>
          <w:color w:val="FF0000"/>
          <w:szCs w:val="24"/>
        </w:rPr>
      </w:pPr>
    </w:p>
    <w:p w14:paraId="63680DF9" w14:textId="052F04A4" w:rsidR="005A0F94" w:rsidRPr="00516573" w:rsidRDefault="005A0F94" w:rsidP="001B1846">
      <w:pPr>
        <w:pStyle w:val="ListParagraph"/>
        <w:numPr>
          <w:ilvl w:val="1"/>
          <w:numId w:val="2"/>
        </w:numPr>
        <w:tabs>
          <w:tab w:val="left" w:pos="1134"/>
        </w:tabs>
        <w:ind w:left="1134" w:right="140" w:hanging="567"/>
        <w:contextualSpacing/>
        <w:jc w:val="both"/>
        <w:rPr>
          <w:rFonts w:cs="Arial"/>
          <w:bCs/>
          <w:szCs w:val="24"/>
        </w:rPr>
      </w:pPr>
      <w:r w:rsidRPr="00516573">
        <w:rPr>
          <w:rFonts w:cs="Arial"/>
          <w:b/>
          <w:bCs/>
          <w:szCs w:val="24"/>
        </w:rPr>
        <w:t>Wealdstone Future High Street Fund</w:t>
      </w:r>
      <w:r w:rsidRPr="00516573">
        <w:rPr>
          <w:rFonts w:cs="Arial"/>
          <w:szCs w:val="24"/>
        </w:rPr>
        <w:t xml:space="preserve"> – £5.868m </w:t>
      </w:r>
      <w:r w:rsidR="00516573" w:rsidRPr="00516573">
        <w:rPr>
          <w:rFonts w:cs="Arial"/>
          <w:szCs w:val="24"/>
        </w:rPr>
        <w:t>slippage</w:t>
      </w:r>
      <w:r w:rsidRPr="00516573">
        <w:rPr>
          <w:rFonts w:cs="Arial"/>
          <w:szCs w:val="24"/>
        </w:rPr>
        <w:t xml:space="preserve">. </w:t>
      </w:r>
      <w:r w:rsidRPr="00516573">
        <w:rPr>
          <w:szCs w:val="24"/>
        </w:rPr>
        <w:t xml:space="preserve">The 2022-23 budget allocation including 2021-22 carried forward budget is reported as </w:t>
      </w:r>
      <w:r w:rsidR="00516573" w:rsidRPr="00516573">
        <w:rPr>
          <w:szCs w:val="24"/>
        </w:rPr>
        <w:t>slippage</w:t>
      </w:r>
      <w:r w:rsidRPr="00516573">
        <w:rPr>
          <w:szCs w:val="24"/>
        </w:rPr>
        <w:t>. Funding was awarded from DLUHC in 2021 following the successful bid to the Future High Street Fund for the construction of a footbridge and the implementation of Intelligent High Street in Wealdstone. The project is currently put on hold</w:t>
      </w:r>
      <w:r w:rsidR="00516573" w:rsidRPr="00516573">
        <w:rPr>
          <w:szCs w:val="24"/>
        </w:rPr>
        <w:t xml:space="preserve">, awaiting a further business case to explore other schemes that will achieve </w:t>
      </w:r>
      <w:r w:rsidR="005E717F">
        <w:rPr>
          <w:szCs w:val="24"/>
        </w:rPr>
        <w:t>comparable infrastructure</w:t>
      </w:r>
      <w:r w:rsidR="00516573" w:rsidRPr="00516573">
        <w:rPr>
          <w:szCs w:val="24"/>
        </w:rPr>
        <w:t xml:space="preserve"> outcomes set out in the original funding bid.</w:t>
      </w:r>
    </w:p>
    <w:p w14:paraId="52570514" w14:textId="77777777" w:rsidR="00516573" w:rsidRPr="00516573" w:rsidRDefault="00516573" w:rsidP="00516573">
      <w:pPr>
        <w:pStyle w:val="ListParagraph"/>
        <w:rPr>
          <w:rFonts w:cs="Arial"/>
          <w:bCs/>
          <w:szCs w:val="24"/>
        </w:rPr>
      </w:pPr>
    </w:p>
    <w:p w14:paraId="7EF9DB17" w14:textId="137BAFC0" w:rsidR="00516573" w:rsidRPr="00516573" w:rsidRDefault="00516573" w:rsidP="001B1846">
      <w:pPr>
        <w:pStyle w:val="ListParagraph"/>
        <w:numPr>
          <w:ilvl w:val="1"/>
          <w:numId w:val="2"/>
        </w:numPr>
        <w:tabs>
          <w:tab w:val="left" w:pos="1134"/>
        </w:tabs>
        <w:ind w:left="1134" w:right="140" w:hanging="567"/>
        <w:contextualSpacing/>
        <w:jc w:val="both"/>
        <w:rPr>
          <w:rFonts w:cs="Arial"/>
          <w:bCs/>
          <w:szCs w:val="24"/>
        </w:rPr>
      </w:pPr>
      <w:r>
        <w:rPr>
          <w:rFonts w:cs="Arial"/>
          <w:b/>
          <w:szCs w:val="24"/>
        </w:rPr>
        <w:t xml:space="preserve">Vehicle Procurement </w:t>
      </w:r>
      <w:r>
        <w:rPr>
          <w:rFonts w:cs="Arial"/>
          <w:bCs/>
          <w:szCs w:val="24"/>
        </w:rPr>
        <w:t xml:space="preserve">- £136k slippage. The budget is originally profiled in 2023-24 to </w:t>
      </w:r>
      <w:r w:rsidR="00930F7A">
        <w:rPr>
          <w:rFonts w:cs="Arial"/>
          <w:bCs/>
          <w:szCs w:val="24"/>
        </w:rPr>
        <w:t>deliver</w:t>
      </w:r>
      <w:r>
        <w:rPr>
          <w:rFonts w:cs="Arial"/>
          <w:bCs/>
          <w:szCs w:val="24"/>
        </w:rPr>
        <w:t xml:space="preserve"> the replacement of a few small vehicles. Following an assessment of vehicle condition, it is planned to keep these for longer </w:t>
      </w:r>
      <w:r w:rsidRPr="00516573">
        <w:rPr>
          <w:rFonts w:cs="Arial"/>
          <w:bCs/>
          <w:szCs w:val="24"/>
        </w:rPr>
        <w:t>and therefore the budget is slipped to 2023-24.</w:t>
      </w:r>
    </w:p>
    <w:p w14:paraId="29ECE852" w14:textId="77777777" w:rsidR="005A0F94" w:rsidRPr="00516573" w:rsidRDefault="005A0F94" w:rsidP="005A0F94">
      <w:pPr>
        <w:pStyle w:val="ListParagraph"/>
        <w:tabs>
          <w:tab w:val="left" w:pos="567"/>
        </w:tabs>
        <w:ind w:left="567"/>
        <w:jc w:val="both"/>
        <w:rPr>
          <w:rFonts w:cs="Arial"/>
          <w:szCs w:val="24"/>
        </w:rPr>
      </w:pPr>
    </w:p>
    <w:p w14:paraId="5D68EF08" w14:textId="77777777" w:rsidR="002000B9" w:rsidRPr="00516573" w:rsidRDefault="002000B9" w:rsidP="00AF06B3">
      <w:pPr>
        <w:pStyle w:val="ListParagraph"/>
        <w:numPr>
          <w:ilvl w:val="0"/>
          <w:numId w:val="2"/>
        </w:numPr>
        <w:tabs>
          <w:tab w:val="left" w:pos="851"/>
        </w:tabs>
        <w:ind w:left="567" w:hanging="567"/>
        <w:jc w:val="both"/>
        <w:rPr>
          <w:rFonts w:cs="Arial"/>
          <w:szCs w:val="24"/>
        </w:rPr>
      </w:pPr>
      <w:r w:rsidRPr="00516573">
        <w:rPr>
          <w:rFonts w:cs="Arial"/>
          <w:bCs/>
          <w:szCs w:val="24"/>
        </w:rPr>
        <w:t>Unless stated otherwise, the slippage has no implications on the revenue budget.</w:t>
      </w:r>
    </w:p>
    <w:p w14:paraId="1DA6E6CA" w14:textId="77777777" w:rsidR="002000B9" w:rsidRPr="00516573" w:rsidRDefault="002000B9" w:rsidP="002000B9">
      <w:pPr>
        <w:pStyle w:val="ListParagraph"/>
        <w:tabs>
          <w:tab w:val="left" w:pos="851"/>
        </w:tabs>
        <w:ind w:left="567" w:hanging="567"/>
        <w:jc w:val="both"/>
        <w:rPr>
          <w:rFonts w:cs="Arial"/>
          <w:szCs w:val="24"/>
        </w:rPr>
      </w:pPr>
    </w:p>
    <w:p w14:paraId="26F0A7E7" w14:textId="0D854011" w:rsidR="002000B9" w:rsidRPr="00516573" w:rsidRDefault="005A0F94" w:rsidP="002000B9">
      <w:pPr>
        <w:pStyle w:val="ListParagraph"/>
        <w:tabs>
          <w:tab w:val="left" w:pos="851"/>
        </w:tabs>
        <w:ind w:left="567"/>
        <w:jc w:val="both"/>
        <w:rPr>
          <w:rFonts w:cs="Arial"/>
          <w:szCs w:val="24"/>
        </w:rPr>
      </w:pPr>
      <w:r w:rsidRPr="00516573">
        <w:rPr>
          <w:rFonts w:cs="Arial"/>
          <w:b/>
          <w:szCs w:val="24"/>
        </w:rPr>
        <w:t xml:space="preserve">Leisure and </w:t>
      </w:r>
      <w:r w:rsidR="002000B9" w:rsidRPr="00516573">
        <w:rPr>
          <w:rFonts w:cs="Arial"/>
          <w:b/>
          <w:szCs w:val="24"/>
        </w:rPr>
        <w:t>Culture</w:t>
      </w:r>
    </w:p>
    <w:p w14:paraId="79661E8F" w14:textId="77777777" w:rsidR="002000B9" w:rsidRPr="00516573" w:rsidRDefault="002000B9" w:rsidP="002000B9">
      <w:pPr>
        <w:pStyle w:val="ListParagraph"/>
        <w:tabs>
          <w:tab w:val="left" w:pos="851"/>
        </w:tabs>
        <w:ind w:left="567" w:hanging="567"/>
        <w:rPr>
          <w:rFonts w:cs="Arial"/>
          <w:bCs/>
          <w:szCs w:val="24"/>
        </w:rPr>
      </w:pPr>
    </w:p>
    <w:p w14:paraId="4805034A" w14:textId="556FD303" w:rsidR="002000B9" w:rsidRPr="00516573" w:rsidRDefault="002000B9" w:rsidP="00E42744">
      <w:pPr>
        <w:pStyle w:val="ListParagraph"/>
        <w:numPr>
          <w:ilvl w:val="0"/>
          <w:numId w:val="2"/>
        </w:numPr>
        <w:tabs>
          <w:tab w:val="left" w:pos="851"/>
        </w:tabs>
        <w:ind w:left="567" w:hanging="567"/>
        <w:jc w:val="both"/>
        <w:rPr>
          <w:rFonts w:cs="Arial"/>
          <w:bCs/>
          <w:szCs w:val="24"/>
        </w:rPr>
      </w:pPr>
      <w:r w:rsidRPr="00516573">
        <w:rPr>
          <w:rFonts w:cs="Arial"/>
          <w:bCs/>
          <w:szCs w:val="24"/>
        </w:rPr>
        <w:t xml:space="preserve">The </w:t>
      </w:r>
      <w:r w:rsidR="005A0F94" w:rsidRPr="00516573">
        <w:rPr>
          <w:rFonts w:cs="Arial"/>
          <w:bCs/>
          <w:szCs w:val="24"/>
        </w:rPr>
        <w:t>projected spend is £2.677m which is 100% of the total capital budget.</w:t>
      </w:r>
    </w:p>
    <w:p w14:paraId="001EA0B4" w14:textId="77777777" w:rsidR="002000B9" w:rsidRPr="00516573" w:rsidRDefault="002000B9" w:rsidP="002000B9">
      <w:pPr>
        <w:pStyle w:val="ListParagraph"/>
        <w:tabs>
          <w:tab w:val="left" w:pos="851"/>
        </w:tabs>
        <w:ind w:left="567" w:hanging="567"/>
        <w:jc w:val="both"/>
        <w:rPr>
          <w:rFonts w:cs="Arial"/>
          <w:szCs w:val="24"/>
        </w:rPr>
      </w:pPr>
    </w:p>
    <w:p w14:paraId="3A25D872" w14:textId="77777777" w:rsidR="00573FF1" w:rsidRDefault="00573FF1" w:rsidP="002000B9">
      <w:pPr>
        <w:pStyle w:val="ListParagraph"/>
        <w:tabs>
          <w:tab w:val="left" w:pos="851"/>
        </w:tabs>
        <w:ind w:left="567"/>
        <w:jc w:val="both"/>
        <w:rPr>
          <w:rFonts w:cs="Arial"/>
          <w:b/>
          <w:szCs w:val="24"/>
        </w:rPr>
      </w:pPr>
    </w:p>
    <w:p w14:paraId="22C226C6" w14:textId="77777777" w:rsidR="00573FF1" w:rsidRDefault="00573FF1" w:rsidP="002000B9">
      <w:pPr>
        <w:pStyle w:val="ListParagraph"/>
        <w:tabs>
          <w:tab w:val="left" w:pos="851"/>
        </w:tabs>
        <w:ind w:left="567"/>
        <w:jc w:val="both"/>
        <w:rPr>
          <w:rFonts w:cs="Arial"/>
          <w:b/>
          <w:szCs w:val="24"/>
        </w:rPr>
      </w:pPr>
    </w:p>
    <w:p w14:paraId="3207DA34" w14:textId="58ED4D7A" w:rsidR="002000B9" w:rsidRPr="00516573" w:rsidRDefault="005A0F94" w:rsidP="002000B9">
      <w:pPr>
        <w:pStyle w:val="ListParagraph"/>
        <w:tabs>
          <w:tab w:val="left" w:pos="851"/>
        </w:tabs>
        <w:ind w:left="567"/>
        <w:jc w:val="both"/>
        <w:rPr>
          <w:rFonts w:cs="Arial"/>
          <w:szCs w:val="24"/>
        </w:rPr>
      </w:pPr>
      <w:r w:rsidRPr="00516573">
        <w:rPr>
          <w:rFonts w:cs="Arial"/>
          <w:b/>
          <w:szCs w:val="24"/>
        </w:rPr>
        <w:lastRenderedPageBreak/>
        <w:t>Inclusive Economy</w:t>
      </w:r>
    </w:p>
    <w:p w14:paraId="724ADB4D" w14:textId="77777777" w:rsidR="002000B9" w:rsidRPr="00516573" w:rsidRDefault="002000B9" w:rsidP="002000B9">
      <w:pPr>
        <w:pStyle w:val="ListParagraph"/>
        <w:tabs>
          <w:tab w:val="left" w:pos="851"/>
        </w:tabs>
        <w:ind w:left="567" w:hanging="567"/>
        <w:rPr>
          <w:rFonts w:cs="Arial"/>
          <w:bCs/>
          <w:szCs w:val="24"/>
        </w:rPr>
      </w:pPr>
    </w:p>
    <w:p w14:paraId="3C543FE2" w14:textId="422E6E7D" w:rsidR="005A0F94" w:rsidRPr="00516573" w:rsidRDefault="005A0F94" w:rsidP="00AF06B3">
      <w:pPr>
        <w:pStyle w:val="ListParagraph"/>
        <w:numPr>
          <w:ilvl w:val="0"/>
          <w:numId w:val="2"/>
        </w:numPr>
        <w:tabs>
          <w:tab w:val="left" w:pos="851"/>
        </w:tabs>
        <w:ind w:left="567" w:hanging="567"/>
        <w:jc w:val="both"/>
        <w:rPr>
          <w:rFonts w:cs="Arial"/>
          <w:szCs w:val="24"/>
        </w:rPr>
      </w:pPr>
      <w:r w:rsidRPr="00516573">
        <w:rPr>
          <w:rFonts w:cs="Arial"/>
          <w:szCs w:val="24"/>
        </w:rPr>
        <w:t>The forecast spend is £1.257m against a budget of £3.057m. The remaining £1.8m is forecast to be slipped to 2023-24.</w:t>
      </w:r>
    </w:p>
    <w:p w14:paraId="6D364EEC" w14:textId="77777777" w:rsidR="001B1846" w:rsidRPr="00516573" w:rsidRDefault="001B1846" w:rsidP="001B1846">
      <w:pPr>
        <w:pStyle w:val="ListParagraph"/>
        <w:tabs>
          <w:tab w:val="left" w:pos="851"/>
        </w:tabs>
        <w:ind w:left="1440"/>
        <w:jc w:val="both"/>
        <w:rPr>
          <w:rFonts w:cs="Arial"/>
          <w:szCs w:val="24"/>
        </w:rPr>
      </w:pPr>
    </w:p>
    <w:p w14:paraId="0A519811" w14:textId="15792F1E" w:rsidR="005A0F94" w:rsidRPr="00516573" w:rsidRDefault="005A0F94" w:rsidP="001B1846">
      <w:pPr>
        <w:pStyle w:val="ListParagraph"/>
        <w:numPr>
          <w:ilvl w:val="1"/>
          <w:numId w:val="2"/>
        </w:numPr>
        <w:tabs>
          <w:tab w:val="left" w:pos="1134"/>
        </w:tabs>
        <w:ind w:left="1134" w:hanging="567"/>
        <w:jc w:val="both"/>
        <w:rPr>
          <w:rFonts w:cs="Arial"/>
          <w:szCs w:val="24"/>
        </w:rPr>
      </w:pPr>
      <w:r w:rsidRPr="00516573">
        <w:rPr>
          <w:rFonts w:cs="Arial"/>
          <w:szCs w:val="24"/>
        </w:rPr>
        <w:t xml:space="preserve">High Street Fund - £1.8m slippage. This is a multiple year programme, with a number of committed projects underway. Of the total funding of £2.868m this year, £1.068m is forecast to be utilised to </w:t>
      </w:r>
      <w:r w:rsidR="00930F7A" w:rsidRPr="00516573">
        <w:rPr>
          <w:rFonts w:cs="Arial"/>
          <w:szCs w:val="24"/>
        </w:rPr>
        <w:t>complete</w:t>
      </w:r>
      <w:r w:rsidRPr="00516573">
        <w:rPr>
          <w:rFonts w:cs="Arial"/>
          <w:szCs w:val="24"/>
        </w:rPr>
        <w:t xml:space="preserve"> existing projects. Any spend on new projects is subject to review, there</w:t>
      </w:r>
      <w:r w:rsidR="001B1846" w:rsidRPr="00516573">
        <w:rPr>
          <w:rFonts w:cs="Arial"/>
          <w:szCs w:val="24"/>
        </w:rPr>
        <w:t>fore the remaining budget of £1.8m is reported as slippage at this stage.</w:t>
      </w:r>
    </w:p>
    <w:p w14:paraId="533620BD" w14:textId="77777777" w:rsidR="00516573" w:rsidRPr="00516573" w:rsidRDefault="00516573" w:rsidP="00516573">
      <w:pPr>
        <w:pStyle w:val="ListParagraph"/>
        <w:tabs>
          <w:tab w:val="left" w:pos="1134"/>
        </w:tabs>
        <w:ind w:left="1134"/>
        <w:jc w:val="both"/>
        <w:rPr>
          <w:rFonts w:cs="Arial"/>
          <w:szCs w:val="24"/>
        </w:rPr>
      </w:pPr>
    </w:p>
    <w:p w14:paraId="4CE66FA2" w14:textId="412E4C37" w:rsidR="007A4D31" w:rsidRPr="00516573" w:rsidRDefault="002000B9" w:rsidP="00AF06B3">
      <w:pPr>
        <w:pStyle w:val="ListParagraph"/>
        <w:numPr>
          <w:ilvl w:val="0"/>
          <w:numId w:val="2"/>
        </w:numPr>
        <w:tabs>
          <w:tab w:val="left" w:pos="851"/>
        </w:tabs>
        <w:ind w:left="567" w:hanging="567"/>
        <w:jc w:val="both"/>
        <w:rPr>
          <w:rFonts w:cs="Arial"/>
          <w:szCs w:val="24"/>
        </w:rPr>
      </w:pPr>
      <w:r w:rsidRPr="00516573">
        <w:rPr>
          <w:rFonts w:cs="Arial"/>
          <w:bCs/>
          <w:szCs w:val="24"/>
        </w:rPr>
        <w:t>Unless stated otherwise, the slippage has no implications on the revenue budget.</w:t>
      </w:r>
      <w:bookmarkStart w:id="6" w:name="_Hlk103930597"/>
    </w:p>
    <w:p w14:paraId="20AB0C58" w14:textId="77777777" w:rsidR="006A7467" w:rsidRPr="002E0F2C" w:rsidRDefault="006A7467" w:rsidP="001B1846">
      <w:pPr>
        <w:tabs>
          <w:tab w:val="left" w:pos="851"/>
        </w:tabs>
        <w:jc w:val="both"/>
        <w:rPr>
          <w:rFonts w:cs="Arial"/>
          <w:color w:val="FF0000"/>
          <w:szCs w:val="24"/>
        </w:rPr>
      </w:pPr>
    </w:p>
    <w:p w14:paraId="63CC026F" w14:textId="3459AB67" w:rsidR="001B1846" w:rsidRPr="00516573" w:rsidRDefault="001B1846" w:rsidP="001B1846">
      <w:pPr>
        <w:pStyle w:val="ListParagraph"/>
        <w:tabs>
          <w:tab w:val="left" w:pos="851"/>
        </w:tabs>
        <w:ind w:left="567"/>
        <w:jc w:val="both"/>
        <w:rPr>
          <w:rFonts w:cs="Arial"/>
          <w:b/>
          <w:bCs/>
          <w:szCs w:val="24"/>
        </w:rPr>
      </w:pPr>
      <w:r w:rsidRPr="00516573">
        <w:rPr>
          <w:rFonts w:cs="Arial"/>
          <w:b/>
          <w:bCs/>
          <w:szCs w:val="24"/>
        </w:rPr>
        <w:t>Planning</w:t>
      </w:r>
    </w:p>
    <w:p w14:paraId="650C691E" w14:textId="24863BB6" w:rsidR="001B1846" w:rsidRPr="00516573" w:rsidRDefault="001B1846" w:rsidP="001B1846">
      <w:pPr>
        <w:tabs>
          <w:tab w:val="left" w:pos="851"/>
        </w:tabs>
        <w:jc w:val="both"/>
        <w:rPr>
          <w:rFonts w:cs="Arial"/>
          <w:szCs w:val="24"/>
        </w:rPr>
      </w:pPr>
    </w:p>
    <w:p w14:paraId="64558726" w14:textId="20793662" w:rsidR="001B1846" w:rsidRPr="00516573" w:rsidRDefault="001B1846" w:rsidP="00AF06B3">
      <w:pPr>
        <w:pStyle w:val="ListParagraph"/>
        <w:numPr>
          <w:ilvl w:val="0"/>
          <w:numId w:val="2"/>
        </w:numPr>
        <w:tabs>
          <w:tab w:val="left" w:pos="851"/>
        </w:tabs>
        <w:ind w:left="567" w:hanging="567"/>
        <w:jc w:val="both"/>
        <w:rPr>
          <w:rFonts w:cs="Arial"/>
          <w:szCs w:val="24"/>
        </w:rPr>
      </w:pPr>
      <w:r w:rsidRPr="00516573">
        <w:rPr>
          <w:rFonts w:cs="Arial"/>
          <w:bCs/>
          <w:szCs w:val="24"/>
        </w:rPr>
        <w:t xml:space="preserve">The service forecast to </w:t>
      </w:r>
      <w:r w:rsidR="00516573" w:rsidRPr="00516573">
        <w:rPr>
          <w:rFonts w:cs="Arial"/>
          <w:bCs/>
          <w:szCs w:val="24"/>
        </w:rPr>
        <w:t>spend £1.2m against a budget of £1.395m. The remaining £195k is forecast as an underspend.</w:t>
      </w:r>
    </w:p>
    <w:p w14:paraId="65280439" w14:textId="77777777" w:rsidR="00516573" w:rsidRPr="00516573" w:rsidRDefault="00516573" w:rsidP="00516573">
      <w:pPr>
        <w:pStyle w:val="ListParagraph"/>
        <w:tabs>
          <w:tab w:val="left" w:pos="851"/>
        </w:tabs>
        <w:ind w:left="567"/>
        <w:jc w:val="both"/>
        <w:rPr>
          <w:rFonts w:cs="Arial"/>
          <w:szCs w:val="24"/>
        </w:rPr>
      </w:pPr>
    </w:p>
    <w:p w14:paraId="7D811A9D" w14:textId="3E4AA1B9" w:rsidR="00516573" w:rsidRPr="00516573" w:rsidRDefault="00516573" w:rsidP="00516573">
      <w:pPr>
        <w:pStyle w:val="ListParagraph"/>
        <w:numPr>
          <w:ilvl w:val="1"/>
          <w:numId w:val="2"/>
        </w:numPr>
        <w:tabs>
          <w:tab w:val="left" w:pos="1134"/>
        </w:tabs>
        <w:ind w:left="1134" w:hanging="567"/>
        <w:jc w:val="both"/>
        <w:rPr>
          <w:rFonts w:cs="Arial"/>
          <w:szCs w:val="24"/>
        </w:rPr>
      </w:pPr>
      <w:r w:rsidRPr="00516573">
        <w:rPr>
          <w:rFonts w:cs="Arial"/>
          <w:b/>
          <w:szCs w:val="24"/>
        </w:rPr>
        <w:t>Neighbourhood CIL -</w:t>
      </w:r>
      <w:r w:rsidRPr="00516573">
        <w:rPr>
          <w:rFonts w:cs="Arial"/>
          <w:bCs/>
          <w:szCs w:val="24"/>
        </w:rPr>
        <w:t xml:space="preserve"> £195k underspend. Following a review of the existing NCIL projects, a decision was made to cease a couple of mural projects in Wealdstone and Harrow Town Centre, and a park restoration project in Pinner. </w:t>
      </w:r>
      <w:r w:rsidR="00930F7A" w:rsidRPr="00516573">
        <w:rPr>
          <w:rFonts w:cs="Arial"/>
          <w:bCs/>
          <w:szCs w:val="24"/>
        </w:rPr>
        <w:t>Therefore,</w:t>
      </w:r>
      <w:r w:rsidRPr="00516573">
        <w:rPr>
          <w:rFonts w:cs="Arial"/>
          <w:bCs/>
          <w:szCs w:val="24"/>
        </w:rPr>
        <w:t xml:space="preserve"> these are reported as an underspend. Unused funding will be returned to the NCIL funding pot.</w:t>
      </w:r>
    </w:p>
    <w:p w14:paraId="4B9A869A" w14:textId="022AA84D" w:rsidR="007A4D31" w:rsidRPr="002E0F2C" w:rsidRDefault="007A4D31" w:rsidP="007A4D31">
      <w:pPr>
        <w:pStyle w:val="ListParagraph"/>
        <w:tabs>
          <w:tab w:val="left" w:pos="851"/>
        </w:tabs>
        <w:ind w:left="567"/>
        <w:jc w:val="both"/>
        <w:rPr>
          <w:rFonts w:cs="Arial"/>
          <w:color w:val="FF0000"/>
          <w:szCs w:val="24"/>
        </w:rPr>
      </w:pPr>
    </w:p>
    <w:p w14:paraId="39874A18" w14:textId="762C4BEA" w:rsidR="007A4D31" w:rsidRPr="00656D22" w:rsidRDefault="007A4D31" w:rsidP="007A4D31">
      <w:pPr>
        <w:pStyle w:val="ListParagraph"/>
        <w:tabs>
          <w:tab w:val="left" w:pos="851"/>
        </w:tabs>
        <w:ind w:left="567"/>
        <w:jc w:val="both"/>
        <w:rPr>
          <w:rFonts w:cs="Arial"/>
          <w:b/>
          <w:bCs/>
          <w:szCs w:val="24"/>
        </w:rPr>
      </w:pPr>
      <w:r w:rsidRPr="00656D22">
        <w:rPr>
          <w:rFonts w:cs="Arial"/>
          <w:b/>
          <w:bCs/>
          <w:szCs w:val="24"/>
        </w:rPr>
        <w:t>Regeneration</w:t>
      </w:r>
    </w:p>
    <w:p w14:paraId="242AB765" w14:textId="77777777" w:rsidR="007A4D31" w:rsidRPr="00656D22" w:rsidRDefault="007A4D31" w:rsidP="007A4D31">
      <w:pPr>
        <w:pStyle w:val="ListParagraph"/>
        <w:tabs>
          <w:tab w:val="left" w:pos="851"/>
        </w:tabs>
        <w:ind w:left="567"/>
        <w:jc w:val="both"/>
        <w:rPr>
          <w:rFonts w:cs="Arial"/>
          <w:szCs w:val="24"/>
        </w:rPr>
      </w:pPr>
    </w:p>
    <w:p w14:paraId="5078923D" w14:textId="2C1E1142" w:rsidR="007A4D31" w:rsidRPr="00656D22" w:rsidRDefault="002000B9" w:rsidP="00AF06B3">
      <w:pPr>
        <w:pStyle w:val="ListParagraph"/>
        <w:numPr>
          <w:ilvl w:val="0"/>
          <w:numId w:val="2"/>
        </w:numPr>
        <w:tabs>
          <w:tab w:val="left" w:pos="851"/>
        </w:tabs>
        <w:ind w:left="567" w:hanging="567"/>
        <w:jc w:val="both"/>
        <w:rPr>
          <w:rFonts w:cs="Arial"/>
          <w:szCs w:val="24"/>
        </w:rPr>
      </w:pPr>
      <w:r w:rsidRPr="00656D22">
        <w:rPr>
          <w:rFonts w:cs="Arial"/>
          <w:szCs w:val="24"/>
        </w:rPr>
        <w:t>The service</w:t>
      </w:r>
      <w:r w:rsidR="001B1846" w:rsidRPr="00656D22">
        <w:rPr>
          <w:rFonts w:cs="Arial"/>
          <w:szCs w:val="24"/>
        </w:rPr>
        <w:t xml:space="preserve"> forecasts to spend £</w:t>
      </w:r>
      <w:r w:rsidR="00516573" w:rsidRPr="00656D22">
        <w:rPr>
          <w:rFonts w:cs="Arial"/>
          <w:szCs w:val="24"/>
        </w:rPr>
        <w:t xml:space="preserve">2.479m </w:t>
      </w:r>
      <w:r w:rsidR="001B1846" w:rsidRPr="00656D22">
        <w:rPr>
          <w:rFonts w:cs="Arial"/>
          <w:szCs w:val="24"/>
        </w:rPr>
        <w:t>against a budget of £14.</w:t>
      </w:r>
      <w:r w:rsidR="00516573" w:rsidRPr="00656D22">
        <w:rPr>
          <w:rFonts w:cs="Arial"/>
          <w:szCs w:val="24"/>
        </w:rPr>
        <w:t>74</w:t>
      </w:r>
      <w:r w:rsidR="001B1846" w:rsidRPr="00656D22">
        <w:rPr>
          <w:rFonts w:cs="Arial"/>
          <w:szCs w:val="24"/>
        </w:rPr>
        <w:t>7m. The remaining £12.268m is forecast to be slipped to 2023-24</w:t>
      </w:r>
    </w:p>
    <w:p w14:paraId="307F4686" w14:textId="77777777" w:rsidR="001B1846" w:rsidRPr="00656D22" w:rsidRDefault="001B1846" w:rsidP="001B1846">
      <w:pPr>
        <w:pStyle w:val="ListParagraph"/>
        <w:tabs>
          <w:tab w:val="left" w:pos="851"/>
        </w:tabs>
        <w:ind w:left="1440"/>
        <w:jc w:val="both"/>
        <w:rPr>
          <w:rFonts w:cs="Arial"/>
          <w:szCs w:val="24"/>
        </w:rPr>
      </w:pPr>
    </w:p>
    <w:p w14:paraId="28DCB9E0" w14:textId="2D15D37F" w:rsidR="001B1846" w:rsidRPr="00656D22" w:rsidRDefault="00516573" w:rsidP="001B1846">
      <w:pPr>
        <w:pStyle w:val="ListParagraph"/>
        <w:numPr>
          <w:ilvl w:val="1"/>
          <w:numId w:val="2"/>
        </w:numPr>
        <w:tabs>
          <w:tab w:val="left" w:pos="1134"/>
        </w:tabs>
        <w:ind w:left="1134" w:hanging="567"/>
        <w:jc w:val="both"/>
        <w:rPr>
          <w:rFonts w:cs="Arial"/>
          <w:szCs w:val="24"/>
        </w:rPr>
      </w:pPr>
      <w:r w:rsidRPr="00656D22">
        <w:rPr>
          <w:rFonts w:cs="Arial"/>
          <w:b/>
          <w:bCs/>
          <w:szCs w:val="24"/>
        </w:rPr>
        <w:t>Haslem House</w:t>
      </w:r>
      <w:r w:rsidR="00656D22" w:rsidRPr="00656D22">
        <w:rPr>
          <w:rFonts w:cs="Arial"/>
          <w:szCs w:val="24"/>
        </w:rPr>
        <w:t xml:space="preserve"> - a</w:t>
      </w:r>
      <w:r w:rsidRPr="00656D22">
        <w:rPr>
          <w:rFonts w:cs="Arial"/>
          <w:szCs w:val="24"/>
        </w:rPr>
        <w:t>t this stage the service is forecasting to spend to budget. Haslam House has completed and the sales of all 9 units expected to complete in October 2022.</w:t>
      </w:r>
    </w:p>
    <w:p w14:paraId="35282E8C" w14:textId="77777777" w:rsidR="00656D22" w:rsidRPr="00656D22" w:rsidRDefault="00656D22" w:rsidP="00656D22">
      <w:pPr>
        <w:pStyle w:val="ListParagraph"/>
        <w:tabs>
          <w:tab w:val="left" w:pos="1134"/>
        </w:tabs>
        <w:ind w:left="1134"/>
        <w:jc w:val="both"/>
        <w:rPr>
          <w:rFonts w:cs="Arial"/>
          <w:szCs w:val="24"/>
        </w:rPr>
      </w:pPr>
    </w:p>
    <w:p w14:paraId="41130D9F" w14:textId="1F8F0879" w:rsidR="00516573" w:rsidRPr="00656D22" w:rsidRDefault="00516573" w:rsidP="001B1846">
      <w:pPr>
        <w:pStyle w:val="ListParagraph"/>
        <w:numPr>
          <w:ilvl w:val="1"/>
          <w:numId w:val="2"/>
        </w:numPr>
        <w:tabs>
          <w:tab w:val="left" w:pos="1134"/>
        </w:tabs>
        <w:ind w:left="1134" w:hanging="567"/>
        <w:jc w:val="both"/>
        <w:rPr>
          <w:rFonts w:cs="Arial"/>
          <w:szCs w:val="24"/>
        </w:rPr>
      </w:pPr>
      <w:r w:rsidRPr="00656D22">
        <w:rPr>
          <w:rFonts w:cs="Arial"/>
          <w:b/>
          <w:bCs/>
          <w:szCs w:val="24"/>
        </w:rPr>
        <w:t>Waxwell Lane</w:t>
      </w:r>
      <w:r w:rsidRPr="00656D22">
        <w:rPr>
          <w:rFonts w:cs="Arial"/>
          <w:szCs w:val="24"/>
        </w:rPr>
        <w:t xml:space="preserve"> </w:t>
      </w:r>
      <w:r w:rsidR="00656D22" w:rsidRPr="00656D22">
        <w:rPr>
          <w:rFonts w:cs="Arial"/>
          <w:szCs w:val="24"/>
        </w:rPr>
        <w:t>–</w:t>
      </w:r>
      <w:r w:rsidRPr="00656D22">
        <w:rPr>
          <w:rFonts w:cs="Arial"/>
          <w:szCs w:val="24"/>
        </w:rPr>
        <w:t xml:space="preserve"> </w:t>
      </w:r>
      <w:r w:rsidR="00656D22" w:rsidRPr="00656D22">
        <w:rPr>
          <w:rFonts w:cs="Arial"/>
          <w:szCs w:val="24"/>
        </w:rPr>
        <w:t>spend to budget. Th</w:t>
      </w:r>
      <w:r w:rsidRPr="00656D22">
        <w:rPr>
          <w:rFonts w:cs="Arial"/>
          <w:szCs w:val="24"/>
        </w:rPr>
        <w:t>ere are some known risks to this position where an extension of time claim has been submitted by the contractor. We expect to conclude final account negotiations by Autumn 2022-23. Practical comple</w:t>
      </w:r>
      <w:r w:rsidR="00656D22" w:rsidRPr="00656D22">
        <w:rPr>
          <w:rFonts w:cs="Arial"/>
          <w:szCs w:val="24"/>
        </w:rPr>
        <w:t xml:space="preserve">tion is expected in October 2022 with sales completion expected by the end </w:t>
      </w:r>
      <w:r w:rsidR="00930F7A" w:rsidRPr="00656D22">
        <w:rPr>
          <w:rFonts w:cs="Arial"/>
          <w:szCs w:val="24"/>
        </w:rPr>
        <w:t>of</w:t>
      </w:r>
      <w:r w:rsidR="00656D22" w:rsidRPr="00656D22">
        <w:rPr>
          <w:rFonts w:cs="Arial"/>
          <w:szCs w:val="24"/>
        </w:rPr>
        <w:t xml:space="preserve"> the financial year.</w:t>
      </w:r>
    </w:p>
    <w:p w14:paraId="1D0197C2" w14:textId="77777777" w:rsidR="001B1846" w:rsidRPr="00656D22" w:rsidRDefault="001B1846" w:rsidP="001B1846">
      <w:pPr>
        <w:pStyle w:val="ListParagraph"/>
        <w:tabs>
          <w:tab w:val="left" w:pos="1134"/>
        </w:tabs>
        <w:ind w:left="1134" w:hanging="567"/>
        <w:jc w:val="both"/>
        <w:rPr>
          <w:rFonts w:cs="Arial"/>
          <w:szCs w:val="24"/>
        </w:rPr>
      </w:pPr>
    </w:p>
    <w:p w14:paraId="15730313" w14:textId="61F61627" w:rsidR="001B1846" w:rsidRPr="00656D22" w:rsidRDefault="001B1846" w:rsidP="001B1846">
      <w:pPr>
        <w:pStyle w:val="ListParagraph"/>
        <w:numPr>
          <w:ilvl w:val="1"/>
          <w:numId w:val="2"/>
        </w:numPr>
        <w:tabs>
          <w:tab w:val="left" w:pos="1134"/>
        </w:tabs>
        <w:ind w:left="1134" w:hanging="567"/>
        <w:jc w:val="both"/>
        <w:rPr>
          <w:rFonts w:cs="Arial"/>
          <w:szCs w:val="24"/>
        </w:rPr>
      </w:pPr>
      <w:r w:rsidRPr="00656D22">
        <w:rPr>
          <w:rFonts w:cs="Arial"/>
          <w:b/>
          <w:bCs/>
          <w:szCs w:val="24"/>
        </w:rPr>
        <w:t>Accommodation Strategy</w:t>
      </w:r>
      <w:r w:rsidRPr="00656D22">
        <w:rPr>
          <w:rFonts w:cs="Arial"/>
          <w:szCs w:val="24"/>
        </w:rPr>
        <w:t xml:space="preserve"> </w:t>
      </w:r>
      <w:r w:rsidR="00656D22" w:rsidRPr="00656D22">
        <w:rPr>
          <w:rFonts w:cs="Arial"/>
          <w:szCs w:val="24"/>
        </w:rPr>
        <w:t>–</w:t>
      </w:r>
      <w:r w:rsidRPr="00656D22">
        <w:rPr>
          <w:rFonts w:cs="Arial"/>
          <w:szCs w:val="24"/>
        </w:rPr>
        <w:t xml:space="preserve"> </w:t>
      </w:r>
      <w:r w:rsidR="00656D22" w:rsidRPr="00656D22">
        <w:rPr>
          <w:rFonts w:cs="Arial"/>
          <w:szCs w:val="24"/>
        </w:rPr>
        <w:t>spend</w:t>
      </w:r>
      <w:r w:rsidRPr="00656D22">
        <w:rPr>
          <w:rFonts w:cs="Arial"/>
          <w:szCs w:val="24"/>
        </w:rPr>
        <w:t xml:space="preserve"> to budget. This budget is allocated for fit out works for various ancillary sites. Works are underway and these are expected to be completed this year.</w:t>
      </w:r>
    </w:p>
    <w:p w14:paraId="4CBA6FBF" w14:textId="77777777" w:rsidR="001B1846" w:rsidRPr="00656D22" w:rsidRDefault="001B1846" w:rsidP="001B1846">
      <w:pPr>
        <w:pStyle w:val="ListParagraph"/>
        <w:tabs>
          <w:tab w:val="left" w:pos="1134"/>
        </w:tabs>
        <w:ind w:left="1134" w:hanging="567"/>
        <w:jc w:val="both"/>
        <w:rPr>
          <w:rFonts w:cs="Arial"/>
          <w:szCs w:val="24"/>
        </w:rPr>
      </w:pPr>
    </w:p>
    <w:p w14:paraId="5D3D2766" w14:textId="4F483706" w:rsidR="001B1846" w:rsidRPr="00656D22" w:rsidRDefault="001B1846" w:rsidP="001B1846">
      <w:pPr>
        <w:pStyle w:val="ListParagraph"/>
        <w:numPr>
          <w:ilvl w:val="1"/>
          <w:numId w:val="2"/>
        </w:numPr>
        <w:tabs>
          <w:tab w:val="left" w:pos="1134"/>
        </w:tabs>
        <w:ind w:left="1134" w:hanging="567"/>
        <w:jc w:val="both"/>
        <w:rPr>
          <w:rFonts w:cs="Arial"/>
          <w:szCs w:val="24"/>
        </w:rPr>
      </w:pPr>
      <w:r w:rsidRPr="00656D22">
        <w:rPr>
          <w:rFonts w:cs="Arial"/>
          <w:b/>
          <w:bCs/>
          <w:szCs w:val="24"/>
        </w:rPr>
        <w:t>Investment in H</w:t>
      </w:r>
      <w:r w:rsidR="00F512A4" w:rsidRPr="00656D22">
        <w:rPr>
          <w:rFonts w:cs="Arial"/>
          <w:b/>
          <w:bCs/>
          <w:szCs w:val="24"/>
        </w:rPr>
        <w:t>arrow New Civic</w:t>
      </w:r>
      <w:r w:rsidRPr="00656D22">
        <w:rPr>
          <w:rFonts w:cs="Arial"/>
          <w:b/>
          <w:bCs/>
          <w:szCs w:val="24"/>
        </w:rPr>
        <w:t xml:space="preserve"> and 3 core sites</w:t>
      </w:r>
      <w:r w:rsidRPr="00656D22">
        <w:rPr>
          <w:rFonts w:cs="Arial"/>
          <w:szCs w:val="24"/>
        </w:rPr>
        <w:t xml:space="preserve"> - £12.268m slippage. Following the Cabinet report in March 2022 on the update of the Harrow Strategic Development Partnership (HSDP), the viability review of various sites is </w:t>
      </w:r>
      <w:r w:rsidR="00930F7A" w:rsidRPr="00656D22">
        <w:rPr>
          <w:rFonts w:cs="Arial"/>
          <w:szCs w:val="24"/>
        </w:rPr>
        <w:t>underway,</w:t>
      </w:r>
      <w:r w:rsidRPr="00656D22">
        <w:rPr>
          <w:rFonts w:cs="Arial"/>
          <w:szCs w:val="24"/>
        </w:rPr>
        <w:t xml:space="preserve"> and the outcomes will be reported back to Cabinet. The funding of £12.268m in the Capital Programme will not be committed until </w:t>
      </w:r>
      <w:r w:rsidRPr="00656D22">
        <w:rPr>
          <w:rFonts w:cs="Arial"/>
          <w:szCs w:val="24"/>
        </w:rPr>
        <w:lastRenderedPageBreak/>
        <w:t xml:space="preserve">the financial </w:t>
      </w:r>
      <w:r w:rsidR="00930F7A" w:rsidRPr="00656D22">
        <w:rPr>
          <w:rFonts w:cs="Arial"/>
          <w:szCs w:val="24"/>
        </w:rPr>
        <w:t>implications</w:t>
      </w:r>
      <w:r w:rsidRPr="00656D22">
        <w:rPr>
          <w:rFonts w:cs="Arial"/>
          <w:szCs w:val="24"/>
        </w:rPr>
        <w:t xml:space="preserve"> to the Council are refreshed. </w:t>
      </w:r>
      <w:r w:rsidR="00930F7A" w:rsidRPr="00656D22">
        <w:rPr>
          <w:rFonts w:cs="Arial"/>
          <w:szCs w:val="24"/>
        </w:rPr>
        <w:t>Therefore,</w:t>
      </w:r>
      <w:r w:rsidRPr="00656D22">
        <w:rPr>
          <w:rFonts w:cs="Arial"/>
          <w:szCs w:val="24"/>
        </w:rPr>
        <w:t xml:space="preserve"> the full budget is forecast as slippage at this stage.</w:t>
      </w:r>
    </w:p>
    <w:p w14:paraId="592C7766" w14:textId="77777777" w:rsidR="007A4D31" w:rsidRPr="00656D22" w:rsidRDefault="007A4D31" w:rsidP="007A4D31">
      <w:pPr>
        <w:pStyle w:val="ListParagraph"/>
        <w:tabs>
          <w:tab w:val="left" w:pos="851"/>
        </w:tabs>
        <w:ind w:left="567"/>
        <w:jc w:val="both"/>
        <w:rPr>
          <w:rFonts w:cs="Arial"/>
          <w:szCs w:val="24"/>
        </w:rPr>
      </w:pPr>
    </w:p>
    <w:bookmarkEnd w:id="6"/>
    <w:p w14:paraId="42E5E7BE" w14:textId="77777777" w:rsidR="007A4D31" w:rsidRPr="00656D22" w:rsidRDefault="002000B9" w:rsidP="007A4D31">
      <w:pPr>
        <w:pStyle w:val="ListParagraph"/>
        <w:tabs>
          <w:tab w:val="left" w:pos="851"/>
        </w:tabs>
        <w:ind w:left="567"/>
        <w:jc w:val="both"/>
        <w:rPr>
          <w:rFonts w:cs="Arial"/>
          <w:szCs w:val="24"/>
        </w:rPr>
      </w:pPr>
      <w:r w:rsidRPr="00656D22">
        <w:rPr>
          <w:b/>
          <w:bCs/>
        </w:rPr>
        <w:t>Housing General Fund</w:t>
      </w:r>
    </w:p>
    <w:p w14:paraId="08F8407D" w14:textId="77777777" w:rsidR="007A4D31" w:rsidRPr="00656D22" w:rsidRDefault="007A4D31" w:rsidP="007A4D31">
      <w:pPr>
        <w:pStyle w:val="ListParagraph"/>
        <w:rPr>
          <w:rFonts w:cs="Arial"/>
          <w:bCs/>
          <w:szCs w:val="24"/>
        </w:rPr>
      </w:pPr>
    </w:p>
    <w:p w14:paraId="4DF9E760" w14:textId="7FE3DA8E" w:rsidR="00237FEA" w:rsidRPr="00656D22" w:rsidRDefault="00656D22" w:rsidP="00AF06B3">
      <w:pPr>
        <w:pStyle w:val="ListParagraph"/>
        <w:numPr>
          <w:ilvl w:val="1"/>
          <w:numId w:val="16"/>
        </w:numPr>
        <w:tabs>
          <w:tab w:val="left" w:pos="851"/>
        </w:tabs>
        <w:ind w:left="567" w:hanging="567"/>
        <w:jc w:val="both"/>
        <w:rPr>
          <w:rFonts w:cs="Arial"/>
          <w:szCs w:val="24"/>
        </w:rPr>
      </w:pPr>
      <w:r w:rsidRPr="00656D22">
        <w:rPr>
          <w:rFonts w:cs="Arial"/>
          <w:bCs/>
          <w:szCs w:val="24"/>
        </w:rPr>
        <w:t>As at Q2, t</w:t>
      </w:r>
      <w:r w:rsidR="002000B9" w:rsidRPr="00656D22">
        <w:rPr>
          <w:rFonts w:cs="Arial"/>
          <w:bCs/>
          <w:szCs w:val="24"/>
        </w:rPr>
        <w:t xml:space="preserve">he </w:t>
      </w:r>
      <w:r w:rsidR="00D2455E" w:rsidRPr="00656D22">
        <w:rPr>
          <w:rFonts w:cs="Arial"/>
          <w:bCs/>
          <w:szCs w:val="24"/>
        </w:rPr>
        <w:t xml:space="preserve">service forecast to spend </w:t>
      </w:r>
      <w:r w:rsidRPr="00656D22">
        <w:rPr>
          <w:rFonts w:cs="Arial"/>
          <w:bCs/>
          <w:szCs w:val="24"/>
        </w:rPr>
        <w:t xml:space="preserve">£10.399m against a budget of </w:t>
      </w:r>
      <w:r w:rsidR="00D2455E" w:rsidRPr="00656D22">
        <w:rPr>
          <w:rFonts w:cs="Arial"/>
          <w:bCs/>
          <w:szCs w:val="24"/>
        </w:rPr>
        <w:t xml:space="preserve">£10.428m </w:t>
      </w:r>
      <w:r w:rsidRPr="00656D22">
        <w:rPr>
          <w:rFonts w:cs="Arial"/>
          <w:bCs/>
          <w:szCs w:val="24"/>
        </w:rPr>
        <w:t>with the remaining £30k reported as an underspend.</w:t>
      </w:r>
    </w:p>
    <w:p w14:paraId="7A19318F" w14:textId="77777777" w:rsidR="00656D22" w:rsidRPr="00656D22" w:rsidRDefault="00656D22" w:rsidP="00656D22">
      <w:pPr>
        <w:pStyle w:val="ListParagraph"/>
        <w:tabs>
          <w:tab w:val="left" w:pos="851"/>
        </w:tabs>
        <w:ind w:left="567"/>
        <w:jc w:val="both"/>
        <w:rPr>
          <w:rFonts w:cs="Arial"/>
          <w:szCs w:val="24"/>
        </w:rPr>
      </w:pPr>
    </w:p>
    <w:p w14:paraId="6344640F" w14:textId="6A026CEA" w:rsidR="00656D22" w:rsidRPr="00656D22" w:rsidRDefault="00656D22" w:rsidP="00AF06B3">
      <w:pPr>
        <w:pStyle w:val="ListParagraph"/>
        <w:numPr>
          <w:ilvl w:val="1"/>
          <w:numId w:val="16"/>
        </w:numPr>
        <w:tabs>
          <w:tab w:val="left" w:pos="851"/>
        </w:tabs>
        <w:ind w:left="567" w:hanging="567"/>
        <w:jc w:val="both"/>
        <w:rPr>
          <w:rFonts w:cs="Arial"/>
          <w:szCs w:val="24"/>
        </w:rPr>
      </w:pPr>
      <w:r w:rsidRPr="00656D22">
        <w:rPr>
          <w:rFonts w:cs="Arial"/>
          <w:b/>
          <w:bCs/>
          <w:szCs w:val="24"/>
        </w:rPr>
        <w:t>Empty Properties Grant</w:t>
      </w:r>
      <w:r w:rsidRPr="00656D22">
        <w:rPr>
          <w:rFonts w:cs="Arial"/>
          <w:szCs w:val="24"/>
        </w:rPr>
        <w:t xml:space="preserve"> - £30k underspend. Demand has reduced with landlords in London exiting the rental market as house prices are high, tax incentives have been removed and labour shortages increases work costs. The rent level offered by Harrow are no longer competitive even with the guaranteed rent and bond schemes.</w:t>
      </w:r>
    </w:p>
    <w:p w14:paraId="1203DA27" w14:textId="77777777" w:rsidR="00237FEA" w:rsidRPr="00656D22" w:rsidRDefault="00237FEA" w:rsidP="00237FEA">
      <w:pPr>
        <w:pStyle w:val="ListParagraph"/>
        <w:tabs>
          <w:tab w:val="left" w:pos="851"/>
        </w:tabs>
        <w:ind w:left="567"/>
        <w:jc w:val="both"/>
        <w:rPr>
          <w:rFonts w:cs="Arial"/>
          <w:szCs w:val="24"/>
        </w:rPr>
      </w:pPr>
    </w:p>
    <w:p w14:paraId="6D0D478E" w14:textId="363A9A2B" w:rsidR="00237FEA" w:rsidRPr="00656D22" w:rsidRDefault="00D2455E" w:rsidP="00237FEA">
      <w:pPr>
        <w:pStyle w:val="ListParagraph"/>
        <w:numPr>
          <w:ilvl w:val="1"/>
          <w:numId w:val="16"/>
        </w:numPr>
        <w:tabs>
          <w:tab w:val="left" w:pos="851"/>
        </w:tabs>
        <w:ind w:left="567" w:hanging="567"/>
        <w:jc w:val="both"/>
        <w:rPr>
          <w:rFonts w:cs="Arial"/>
          <w:szCs w:val="24"/>
        </w:rPr>
      </w:pPr>
      <w:r w:rsidRPr="00656D22">
        <w:rPr>
          <w:rFonts w:cs="Arial"/>
          <w:bCs/>
          <w:szCs w:val="24"/>
        </w:rPr>
        <w:t xml:space="preserve">Additional </w:t>
      </w:r>
      <w:r w:rsidRPr="00656D22">
        <w:rPr>
          <w:rFonts w:cs="Arial"/>
          <w:b/>
          <w:szCs w:val="24"/>
        </w:rPr>
        <w:t xml:space="preserve">Disabled Facilities Grant </w:t>
      </w:r>
      <w:r w:rsidRPr="00656D22">
        <w:rPr>
          <w:rFonts w:cs="Arial"/>
          <w:bCs/>
          <w:szCs w:val="24"/>
        </w:rPr>
        <w:t>(DFG) was carried forward at the end of 2021-22 resulting in a total budget allocation of £2.808m in 2022-23. There is a risk that not all of the budget will be spent this year and Housing Services is working closely with People Services to ensure full use of the funding is made in 2022-23.</w:t>
      </w:r>
      <w:r w:rsidR="002000B9" w:rsidRPr="00656D22">
        <w:rPr>
          <w:rFonts w:cs="Arial"/>
          <w:bCs/>
          <w:szCs w:val="24"/>
        </w:rPr>
        <w:t xml:space="preserve"> </w:t>
      </w:r>
    </w:p>
    <w:p w14:paraId="08E40CFA" w14:textId="77777777" w:rsidR="00237FEA" w:rsidRPr="002E0F2C" w:rsidRDefault="00237FEA" w:rsidP="00237FEA">
      <w:pPr>
        <w:pStyle w:val="ListParagraph"/>
        <w:rPr>
          <w:rFonts w:cs="Arial"/>
          <w:b/>
          <w:bCs/>
          <w:color w:val="FF0000"/>
          <w:szCs w:val="24"/>
        </w:rPr>
      </w:pPr>
    </w:p>
    <w:p w14:paraId="013928EF" w14:textId="32699422" w:rsidR="00237FEA" w:rsidRPr="00656D22" w:rsidRDefault="00237FEA" w:rsidP="00237FEA">
      <w:pPr>
        <w:pStyle w:val="ListParagraph"/>
        <w:tabs>
          <w:tab w:val="left" w:pos="851"/>
        </w:tabs>
        <w:ind w:left="567"/>
        <w:jc w:val="both"/>
        <w:rPr>
          <w:rFonts w:cs="Arial"/>
          <w:b/>
          <w:bCs/>
          <w:szCs w:val="24"/>
        </w:rPr>
      </w:pPr>
      <w:r w:rsidRPr="00656D22">
        <w:rPr>
          <w:rFonts w:cs="Arial"/>
          <w:b/>
          <w:bCs/>
          <w:szCs w:val="24"/>
        </w:rPr>
        <w:t>Housing Revenue Account (HRA)</w:t>
      </w:r>
    </w:p>
    <w:p w14:paraId="317F0F58" w14:textId="77777777" w:rsidR="00237FEA" w:rsidRPr="00656D22" w:rsidRDefault="00237FEA" w:rsidP="00237FEA">
      <w:pPr>
        <w:pStyle w:val="ListParagraph"/>
        <w:rPr>
          <w:rFonts w:cs="Arial"/>
          <w:bCs/>
          <w:szCs w:val="24"/>
        </w:rPr>
      </w:pPr>
    </w:p>
    <w:p w14:paraId="7ACB403C" w14:textId="1DEE8C41" w:rsidR="00237FEA" w:rsidRPr="00656D22" w:rsidRDefault="00237FEA" w:rsidP="00237FEA">
      <w:pPr>
        <w:pStyle w:val="ListParagraph"/>
        <w:numPr>
          <w:ilvl w:val="1"/>
          <w:numId w:val="16"/>
        </w:numPr>
        <w:tabs>
          <w:tab w:val="left" w:pos="851"/>
        </w:tabs>
        <w:ind w:left="567" w:hanging="567"/>
        <w:jc w:val="both"/>
        <w:rPr>
          <w:rFonts w:cs="Arial"/>
          <w:szCs w:val="24"/>
        </w:rPr>
      </w:pPr>
      <w:r w:rsidRPr="00656D22">
        <w:rPr>
          <w:rFonts w:cs="Arial"/>
          <w:bCs/>
          <w:szCs w:val="24"/>
        </w:rPr>
        <w:t>The HRA capital programme budget is £52.446m. As at Q</w:t>
      </w:r>
      <w:r w:rsidR="00656D22" w:rsidRPr="00656D22">
        <w:rPr>
          <w:rFonts w:cs="Arial"/>
          <w:bCs/>
          <w:szCs w:val="24"/>
        </w:rPr>
        <w:t>2</w:t>
      </w:r>
      <w:r w:rsidRPr="00656D22">
        <w:rPr>
          <w:rFonts w:cs="Arial"/>
          <w:bCs/>
          <w:szCs w:val="24"/>
        </w:rPr>
        <w:t xml:space="preserve"> the net forecast spend position is £</w:t>
      </w:r>
      <w:r w:rsidR="00656D22" w:rsidRPr="00656D22">
        <w:rPr>
          <w:rFonts w:cs="Arial"/>
          <w:bCs/>
          <w:szCs w:val="24"/>
        </w:rPr>
        <w:t>34.453m</w:t>
      </w:r>
      <w:r w:rsidRPr="00656D22">
        <w:rPr>
          <w:rFonts w:cs="Arial"/>
          <w:bCs/>
          <w:szCs w:val="24"/>
        </w:rPr>
        <w:t xml:space="preserve"> which represents </w:t>
      </w:r>
      <w:r w:rsidR="00656D22" w:rsidRPr="00656D22">
        <w:rPr>
          <w:rFonts w:cs="Arial"/>
          <w:bCs/>
          <w:szCs w:val="24"/>
        </w:rPr>
        <w:t>66</w:t>
      </w:r>
      <w:r w:rsidRPr="00656D22">
        <w:rPr>
          <w:rFonts w:cs="Arial"/>
          <w:bCs/>
          <w:szCs w:val="24"/>
        </w:rPr>
        <w:t>% of the total HRA capital programme budget. The variance of £</w:t>
      </w:r>
      <w:r w:rsidR="00656D22" w:rsidRPr="00656D22">
        <w:rPr>
          <w:rFonts w:cs="Arial"/>
          <w:bCs/>
          <w:szCs w:val="24"/>
        </w:rPr>
        <w:t>17.99m</w:t>
      </w:r>
      <w:r w:rsidRPr="00656D22">
        <w:rPr>
          <w:rFonts w:cs="Arial"/>
          <w:bCs/>
          <w:szCs w:val="24"/>
        </w:rPr>
        <w:t xml:space="preserve"> is made up of proposed slippage of £</w:t>
      </w:r>
      <w:r w:rsidR="00656D22" w:rsidRPr="00656D22">
        <w:rPr>
          <w:rFonts w:cs="Arial"/>
          <w:bCs/>
          <w:szCs w:val="24"/>
        </w:rPr>
        <w:t>13.881m</w:t>
      </w:r>
      <w:r w:rsidRPr="00656D22">
        <w:rPr>
          <w:rFonts w:cs="Arial"/>
          <w:bCs/>
          <w:szCs w:val="24"/>
        </w:rPr>
        <w:t xml:space="preserve"> and a net underspend of £</w:t>
      </w:r>
      <w:r w:rsidR="00656D22" w:rsidRPr="00656D22">
        <w:rPr>
          <w:rFonts w:cs="Arial"/>
          <w:bCs/>
          <w:szCs w:val="24"/>
        </w:rPr>
        <w:t>4.111</w:t>
      </w:r>
      <w:r w:rsidR="00E1686D" w:rsidRPr="00656D22">
        <w:rPr>
          <w:rFonts w:cs="Arial"/>
          <w:bCs/>
          <w:szCs w:val="24"/>
        </w:rPr>
        <w:t>m</w:t>
      </w:r>
      <w:r w:rsidRPr="00656D22">
        <w:rPr>
          <w:rFonts w:cs="Arial"/>
          <w:bCs/>
          <w:szCs w:val="24"/>
        </w:rPr>
        <w:t>.</w:t>
      </w:r>
    </w:p>
    <w:p w14:paraId="626C32D5" w14:textId="77777777" w:rsidR="00237FEA" w:rsidRPr="00656D22" w:rsidRDefault="00237FEA" w:rsidP="00237FEA">
      <w:pPr>
        <w:pStyle w:val="ListParagraph"/>
        <w:rPr>
          <w:rFonts w:cs="Arial"/>
          <w:bCs/>
          <w:szCs w:val="24"/>
        </w:rPr>
      </w:pPr>
    </w:p>
    <w:p w14:paraId="5815DE17" w14:textId="70B077F3" w:rsidR="00237FEA" w:rsidRPr="00656D22" w:rsidRDefault="00237FEA" w:rsidP="00237FEA">
      <w:pPr>
        <w:pStyle w:val="ListParagraph"/>
        <w:numPr>
          <w:ilvl w:val="1"/>
          <w:numId w:val="16"/>
        </w:numPr>
        <w:tabs>
          <w:tab w:val="left" w:pos="851"/>
        </w:tabs>
        <w:ind w:left="567" w:hanging="567"/>
        <w:jc w:val="both"/>
        <w:rPr>
          <w:rFonts w:cs="Arial"/>
          <w:szCs w:val="24"/>
        </w:rPr>
      </w:pPr>
      <w:r w:rsidRPr="00656D22">
        <w:rPr>
          <w:rFonts w:cs="Arial"/>
          <w:bCs/>
          <w:szCs w:val="24"/>
        </w:rPr>
        <w:t>The slippage of £</w:t>
      </w:r>
      <w:r w:rsidR="00656D22" w:rsidRPr="00656D22">
        <w:rPr>
          <w:rFonts w:cs="Arial"/>
          <w:bCs/>
          <w:szCs w:val="24"/>
        </w:rPr>
        <w:t>13.881m</w:t>
      </w:r>
      <w:r w:rsidRPr="00656D22">
        <w:rPr>
          <w:rFonts w:cs="Arial"/>
          <w:bCs/>
          <w:szCs w:val="24"/>
        </w:rPr>
        <w:t xml:space="preserve"> relates </w:t>
      </w:r>
      <w:r w:rsidR="00656D22" w:rsidRPr="00656D22">
        <w:rPr>
          <w:rFonts w:cs="Arial"/>
          <w:bCs/>
          <w:szCs w:val="24"/>
        </w:rPr>
        <w:t>the following schemes</w:t>
      </w:r>
    </w:p>
    <w:p w14:paraId="59F6053A" w14:textId="77777777" w:rsidR="00237FEA" w:rsidRPr="00656D22" w:rsidRDefault="00237FEA" w:rsidP="00237FEA">
      <w:pPr>
        <w:pStyle w:val="ListParagraph"/>
        <w:rPr>
          <w:rFonts w:cs="Arial"/>
          <w:bCs/>
          <w:szCs w:val="24"/>
        </w:rPr>
      </w:pPr>
    </w:p>
    <w:p w14:paraId="3B8656D5" w14:textId="11761087" w:rsidR="00237FEA" w:rsidRPr="00656D22" w:rsidRDefault="00930F7A" w:rsidP="00237FEA">
      <w:pPr>
        <w:pStyle w:val="ListParagraph"/>
        <w:numPr>
          <w:ilvl w:val="3"/>
          <w:numId w:val="25"/>
        </w:numPr>
        <w:tabs>
          <w:tab w:val="left" w:pos="1134"/>
        </w:tabs>
        <w:ind w:left="1134" w:hanging="567"/>
        <w:jc w:val="both"/>
        <w:rPr>
          <w:rFonts w:cs="Arial"/>
          <w:szCs w:val="24"/>
        </w:rPr>
      </w:pPr>
      <w:r w:rsidRPr="00656D22">
        <w:rPr>
          <w:rFonts w:cs="Arial"/>
          <w:b/>
          <w:szCs w:val="24"/>
        </w:rPr>
        <w:t>Decarbonisation Programme</w:t>
      </w:r>
      <w:r w:rsidR="00237FEA" w:rsidRPr="00656D22">
        <w:rPr>
          <w:rFonts w:cs="Arial"/>
          <w:bCs/>
          <w:szCs w:val="24"/>
        </w:rPr>
        <w:t xml:space="preserve"> - £750k slippage which has been delayed due to funding proposals and partnering arrangements being established with other local authorities</w:t>
      </w:r>
    </w:p>
    <w:p w14:paraId="3296C436" w14:textId="0B82A4B8" w:rsidR="00656D22" w:rsidRPr="00656D22" w:rsidRDefault="00656D22" w:rsidP="00237FEA">
      <w:pPr>
        <w:pStyle w:val="ListParagraph"/>
        <w:numPr>
          <w:ilvl w:val="3"/>
          <w:numId w:val="25"/>
        </w:numPr>
        <w:tabs>
          <w:tab w:val="left" w:pos="1134"/>
        </w:tabs>
        <w:ind w:left="1134" w:hanging="567"/>
        <w:jc w:val="both"/>
        <w:rPr>
          <w:rFonts w:cs="Arial"/>
          <w:szCs w:val="24"/>
        </w:rPr>
      </w:pPr>
      <w:r>
        <w:rPr>
          <w:rFonts w:cs="Arial"/>
          <w:b/>
          <w:szCs w:val="24"/>
        </w:rPr>
        <w:t>Two Storey Fire Doors</w:t>
      </w:r>
      <w:r>
        <w:rPr>
          <w:rFonts w:cs="Arial"/>
          <w:bCs/>
          <w:szCs w:val="24"/>
        </w:rPr>
        <w:t xml:space="preserve"> - £171k slippage. Delays in procurement meant that this will be delivered in 2023-24.</w:t>
      </w:r>
    </w:p>
    <w:p w14:paraId="60818967" w14:textId="2DF5D0CE" w:rsidR="00237FEA" w:rsidRPr="00656D22" w:rsidRDefault="00237FEA" w:rsidP="00237FEA">
      <w:pPr>
        <w:pStyle w:val="ListParagraph"/>
        <w:numPr>
          <w:ilvl w:val="3"/>
          <w:numId w:val="25"/>
        </w:numPr>
        <w:tabs>
          <w:tab w:val="left" w:pos="1134"/>
        </w:tabs>
        <w:ind w:left="1134" w:hanging="567"/>
        <w:jc w:val="both"/>
        <w:rPr>
          <w:rFonts w:cs="Arial"/>
          <w:szCs w:val="24"/>
        </w:rPr>
      </w:pPr>
      <w:r w:rsidRPr="00656D22">
        <w:rPr>
          <w:rFonts w:cs="Arial"/>
          <w:b/>
          <w:szCs w:val="24"/>
        </w:rPr>
        <w:t>Install Heat Pump technology</w:t>
      </w:r>
      <w:r w:rsidRPr="00656D22">
        <w:rPr>
          <w:rFonts w:cs="Arial"/>
          <w:bCs/>
          <w:szCs w:val="24"/>
        </w:rPr>
        <w:t xml:space="preserve"> - £</w:t>
      </w:r>
      <w:r w:rsidR="00656D22" w:rsidRPr="00656D22">
        <w:rPr>
          <w:rFonts w:cs="Arial"/>
          <w:bCs/>
          <w:szCs w:val="24"/>
        </w:rPr>
        <w:t>5</w:t>
      </w:r>
      <w:r w:rsidRPr="00656D22">
        <w:rPr>
          <w:rFonts w:cs="Arial"/>
          <w:bCs/>
          <w:szCs w:val="24"/>
        </w:rPr>
        <w:t xml:space="preserve">94k slippage which, due to issues with one site, has led to the programme not being fully delivered as planned in 2022-23.   </w:t>
      </w:r>
    </w:p>
    <w:p w14:paraId="4A583DE3" w14:textId="5446AF06" w:rsidR="00656D22" w:rsidRPr="00656D22" w:rsidRDefault="00656D22" w:rsidP="00237FEA">
      <w:pPr>
        <w:pStyle w:val="ListParagraph"/>
        <w:numPr>
          <w:ilvl w:val="3"/>
          <w:numId w:val="25"/>
        </w:numPr>
        <w:tabs>
          <w:tab w:val="left" w:pos="1134"/>
        </w:tabs>
        <w:ind w:left="1134" w:hanging="567"/>
        <w:jc w:val="both"/>
        <w:rPr>
          <w:rFonts w:cs="Arial"/>
          <w:b/>
          <w:bCs/>
          <w:szCs w:val="24"/>
        </w:rPr>
      </w:pPr>
      <w:r>
        <w:rPr>
          <w:rFonts w:cs="Arial"/>
          <w:b/>
          <w:szCs w:val="24"/>
        </w:rPr>
        <w:t xml:space="preserve">Grange Farm Phase </w:t>
      </w:r>
      <w:r w:rsidR="00930F7A">
        <w:rPr>
          <w:rFonts w:cs="Arial"/>
          <w:b/>
          <w:szCs w:val="24"/>
        </w:rPr>
        <w:t xml:space="preserve">2 </w:t>
      </w:r>
      <w:r w:rsidR="00930F7A">
        <w:rPr>
          <w:rFonts w:cs="Arial"/>
          <w:bCs/>
          <w:szCs w:val="24"/>
        </w:rPr>
        <w:t>-</w:t>
      </w:r>
      <w:r>
        <w:rPr>
          <w:rFonts w:cs="Arial"/>
          <w:bCs/>
          <w:szCs w:val="24"/>
        </w:rPr>
        <w:t xml:space="preserve"> £1.500m. This was set aside for acquisition of property within Phase 2 and is now not required to be utilised this financial year</w:t>
      </w:r>
    </w:p>
    <w:p w14:paraId="5CEBB896" w14:textId="66A04894" w:rsidR="00656D22" w:rsidRPr="0095082B" w:rsidRDefault="00930F7A" w:rsidP="00237FEA">
      <w:pPr>
        <w:pStyle w:val="ListParagraph"/>
        <w:numPr>
          <w:ilvl w:val="3"/>
          <w:numId w:val="25"/>
        </w:numPr>
        <w:tabs>
          <w:tab w:val="left" w:pos="1134"/>
        </w:tabs>
        <w:ind w:left="1134" w:hanging="567"/>
        <w:jc w:val="both"/>
        <w:rPr>
          <w:rFonts w:cs="Arial"/>
          <w:szCs w:val="24"/>
        </w:rPr>
      </w:pPr>
      <w:r w:rsidRPr="00656D22">
        <w:rPr>
          <w:rFonts w:cs="Arial"/>
          <w:b/>
          <w:bCs/>
          <w:szCs w:val="24"/>
        </w:rPr>
        <w:t>Building</w:t>
      </w:r>
      <w:r w:rsidR="00656D22" w:rsidRPr="00656D22">
        <w:rPr>
          <w:rFonts w:cs="Arial"/>
          <w:b/>
          <w:bCs/>
          <w:szCs w:val="24"/>
        </w:rPr>
        <w:t xml:space="preserve"> Council Homes For Londoners Programme</w:t>
      </w:r>
      <w:r w:rsidR="00656D22">
        <w:rPr>
          <w:rFonts w:cs="Arial"/>
          <w:szCs w:val="24"/>
        </w:rPr>
        <w:t xml:space="preserve"> - £10.866m. Schemes have been reviewed and it is not possible to achieve start on site on some projects by 31 March 2023 resulting in this being slipped into future </w:t>
      </w:r>
      <w:r w:rsidR="00656D22" w:rsidRPr="0095082B">
        <w:rPr>
          <w:rFonts w:cs="Arial"/>
          <w:szCs w:val="24"/>
        </w:rPr>
        <w:t>years.</w:t>
      </w:r>
    </w:p>
    <w:p w14:paraId="7558BAEC" w14:textId="53248B08" w:rsidR="00237FEA" w:rsidRPr="0095082B" w:rsidRDefault="00237FEA" w:rsidP="00237FEA">
      <w:pPr>
        <w:tabs>
          <w:tab w:val="left" w:pos="851"/>
        </w:tabs>
        <w:jc w:val="both"/>
        <w:rPr>
          <w:rFonts w:cs="Arial"/>
          <w:szCs w:val="24"/>
        </w:rPr>
      </w:pPr>
    </w:p>
    <w:p w14:paraId="2CB86E55" w14:textId="4F5D4BA3" w:rsidR="00237FEA" w:rsidRPr="0095082B" w:rsidRDefault="00237FEA" w:rsidP="00656D22">
      <w:pPr>
        <w:pStyle w:val="ListParagraph"/>
        <w:numPr>
          <w:ilvl w:val="1"/>
          <w:numId w:val="16"/>
        </w:numPr>
        <w:tabs>
          <w:tab w:val="left" w:pos="851"/>
        </w:tabs>
        <w:ind w:left="567" w:hanging="567"/>
        <w:jc w:val="both"/>
        <w:rPr>
          <w:rFonts w:cs="Arial"/>
          <w:szCs w:val="24"/>
        </w:rPr>
      </w:pPr>
      <w:r w:rsidRPr="0095082B">
        <w:rPr>
          <w:rFonts w:cs="Arial"/>
          <w:bCs/>
          <w:szCs w:val="24"/>
        </w:rPr>
        <w:t>The underspend of £</w:t>
      </w:r>
      <w:r w:rsidR="00E1686D" w:rsidRPr="0095082B">
        <w:rPr>
          <w:rFonts w:cs="Arial"/>
          <w:bCs/>
          <w:szCs w:val="24"/>
        </w:rPr>
        <w:t>4.</w:t>
      </w:r>
      <w:r w:rsidR="00656D22" w:rsidRPr="0095082B">
        <w:rPr>
          <w:rFonts w:cs="Arial"/>
          <w:bCs/>
          <w:szCs w:val="24"/>
        </w:rPr>
        <w:t>111</w:t>
      </w:r>
      <w:r w:rsidRPr="0095082B">
        <w:rPr>
          <w:rFonts w:cs="Arial"/>
          <w:bCs/>
          <w:szCs w:val="24"/>
        </w:rPr>
        <w:t xml:space="preserve">m relates to the Planned Investment Programme </w:t>
      </w:r>
      <w:r w:rsidR="00656D22" w:rsidRPr="0095082B">
        <w:rPr>
          <w:rFonts w:cs="Arial"/>
          <w:bCs/>
          <w:szCs w:val="24"/>
        </w:rPr>
        <w:t xml:space="preserve">and is as a result of procurement delays. Of the underspend £318k has been saved </w:t>
      </w:r>
      <w:r w:rsidR="00656D22" w:rsidRPr="0095082B">
        <w:rPr>
          <w:rFonts w:cs="Arial"/>
          <w:bCs/>
          <w:szCs w:val="24"/>
        </w:rPr>
        <w:lastRenderedPageBreak/>
        <w:t xml:space="preserve">by using new technology in delivering structural works and £104k is </w:t>
      </w:r>
      <w:r w:rsidR="00930F7A" w:rsidRPr="0095082B">
        <w:rPr>
          <w:rFonts w:cs="Arial"/>
          <w:bCs/>
          <w:szCs w:val="24"/>
        </w:rPr>
        <w:t>due</w:t>
      </w:r>
      <w:r w:rsidR="00656D22" w:rsidRPr="0095082B">
        <w:rPr>
          <w:rFonts w:cs="Arial"/>
          <w:bCs/>
          <w:szCs w:val="24"/>
        </w:rPr>
        <w:t xml:space="preserve"> to a reduction in the number of properties in two schemes.</w:t>
      </w:r>
      <w:r w:rsidRPr="0095082B">
        <w:rPr>
          <w:rFonts w:cs="Arial"/>
          <w:bCs/>
          <w:szCs w:val="24"/>
        </w:rPr>
        <w:t xml:space="preserve"> </w:t>
      </w:r>
    </w:p>
    <w:p w14:paraId="6395D5B2" w14:textId="063408ED" w:rsidR="00237FEA" w:rsidRPr="000B5B51" w:rsidRDefault="00237FEA" w:rsidP="00BF1336">
      <w:pPr>
        <w:pStyle w:val="ListParagraph"/>
        <w:tabs>
          <w:tab w:val="left" w:pos="142"/>
          <w:tab w:val="left" w:pos="284"/>
          <w:tab w:val="left" w:pos="709"/>
        </w:tabs>
        <w:ind w:left="709"/>
        <w:jc w:val="both"/>
        <w:rPr>
          <w:rFonts w:cs="Arial"/>
          <w:b/>
          <w:bCs/>
        </w:rPr>
      </w:pPr>
    </w:p>
    <w:p w14:paraId="2070843B" w14:textId="6C97692C" w:rsidR="00BF1336" w:rsidRPr="00E16D65" w:rsidRDefault="00BF1336" w:rsidP="00BF1336">
      <w:pPr>
        <w:pStyle w:val="ListParagraph"/>
        <w:tabs>
          <w:tab w:val="left" w:pos="142"/>
          <w:tab w:val="left" w:pos="284"/>
          <w:tab w:val="left" w:pos="709"/>
        </w:tabs>
        <w:ind w:left="709"/>
        <w:jc w:val="both"/>
        <w:rPr>
          <w:rFonts w:cs="Arial"/>
          <w:b/>
          <w:bCs/>
          <w:u w:val="single"/>
        </w:rPr>
      </w:pPr>
      <w:r w:rsidRPr="00E16D65">
        <w:rPr>
          <w:rFonts w:cs="Arial"/>
          <w:b/>
          <w:bCs/>
          <w:u w:val="single"/>
        </w:rPr>
        <w:t>PEOPLE SERVICES</w:t>
      </w:r>
    </w:p>
    <w:p w14:paraId="178D885A" w14:textId="77777777" w:rsidR="00BF1336" w:rsidRPr="000B5B51" w:rsidRDefault="00BF1336" w:rsidP="00BF1336">
      <w:pPr>
        <w:pStyle w:val="ListParagraph"/>
        <w:rPr>
          <w:rFonts w:cs="Arial"/>
          <w:bCs/>
          <w:szCs w:val="24"/>
        </w:rPr>
      </w:pPr>
    </w:p>
    <w:p w14:paraId="3C98EFBB" w14:textId="3CC1C2D9" w:rsidR="002B4A5D" w:rsidRPr="000B5B51" w:rsidRDefault="001619BF" w:rsidP="001619BF">
      <w:pPr>
        <w:pStyle w:val="ListParagraph"/>
        <w:numPr>
          <w:ilvl w:val="1"/>
          <w:numId w:val="16"/>
        </w:numPr>
        <w:tabs>
          <w:tab w:val="left" w:pos="142"/>
          <w:tab w:val="left" w:pos="284"/>
          <w:tab w:val="left" w:pos="709"/>
        </w:tabs>
        <w:jc w:val="both"/>
        <w:rPr>
          <w:rFonts w:cs="Arial"/>
        </w:rPr>
      </w:pPr>
      <w:r w:rsidRPr="000B5B51">
        <w:rPr>
          <w:rFonts w:cs="Arial"/>
          <w:bCs/>
          <w:szCs w:val="24"/>
        </w:rPr>
        <w:t xml:space="preserve">  </w:t>
      </w:r>
      <w:r w:rsidR="0092238D" w:rsidRPr="000B5B51">
        <w:rPr>
          <w:rFonts w:cs="Arial"/>
          <w:bCs/>
          <w:szCs w:val="24"/>
        </w:rPr>
        <w:t>As at Q</w:t>
      </w:r>
      <w:r w:rsidR="009F16FD" w:rsidRPr="000B5B51">
        <w:rPr>
          <w:rFonts w:cs="Arial"/>
          <w:bCs/>
          <w:szCs w:val="24"/>
        </w:rPr>
        <w:t>2</w:t>
      </w:r>
      <w:r w:rsidR="0092238D" w:rsidRPr="000B5B51">
        <w:rPr>
          <w:rFonts w:cs="Arial"/>
          <w:bCs/>
          <w:szCs w:val="24"/>
        </w:rPr>
        <w:t xml:space="preserve"> the projected spend is </w:t>
      </w:r>
      <w:r w:rsidR="009F16FD" w:rsidRPr="000B5B51">
        <w:rPr>
          <w:rFonts w:cs="Arial"/>
          <w:bCs/>
          <w:szCs w:val="24"/>
        </w:rPr>
        <w:t>£6.110m</w:t>
      </w:r>
      <w:r w:rsidR="0092238D" w:rsidRPr="000B5B51">
        <w:rPr>
          <w:rFonts w:cs="Arial"/>
          <w:bCs/>
          <w:szCs w:val="24"/>
        </w:rPr>
        <w:t xml:space="preserve"> which is </w:t>
      </w:r>
      <w:r w:rsidR="009F16FD" w:rsidRPr="000B5B51">
        <w:rPr>
          <w:rFonts w:cs="Arial"/>
          <w:bCs/>
          <w:szCs w:val="24"/>
        </w:rPr>
        <w:t>22</w:t>
      </w:r>
      <w:r w:rsidR="0092238D" w:rsidRPr="000B5B51">
        <w:rPr>
          <w:rFonts w:cs="Arial"/>
          <w:bCs/>
          <w:szCs w:val="24"/>
        </w:rPr>
        <w:t>% of the total budget.</w:t>
      </w:r>
    </w:p>
    <w:p w14:paraId="22B9BCF9" w14:textId="77777777" w:rsidR="0092238D" w:rsidRPr="002E0F2C" w:rsidRDefault="0092238D" w:rsidP="0092238D">
      <w:pPr>
        <w:pStyle w:val="ListParagraph"/>
        <w:tabs>
          <w:tab w:val="left" w:pos="142"/>
          <w:tab w:val="left" w:pos="284"/>
          <w:tab w:val="left" w:pos="709"/>
        </w:tabs>
        <w:ind w:left="709"/>
        <w:jc w:val="both"/>
        <w:rPr>
          <w:rFonts w:cs="Arial"/>
          <w:color w:val="FF0000"/>
        </w:rPr>
      </w:pPr>
    </w:p>
    <w:p w14:paraId="1F0270AF" w14:textId="687924C7" w:rsidR="002B4A5D" w:rsidRPr="00E16D65" w:rsidRDefault="00E16D65" w:rsidP="00E16D65">
      <w:pPr>
        <w:tabs>
          <w:tab w:val="left" w:pos="142"/>
          <w:tab w:val="left" w:pos="284"/>
          <w:tab w:val="left" w:pos="709"/>
        </w:tabs>
        <w:jc w:val="both"/>
        <w:rPr>
          <w:rFonts w:cs="Arial"/>
        </w:rPr>
      </w:pPr>
      <w:r>
        <w:rPr>
          <w:rFonts w:cs="Arial"/>
          <w:b/>
        </w:rPr>
        <w:tab/>
      </w:r>
      <w:r>
        <w:rPr>
          <w:rFonts w:cs="Arial"/>
          <w:b/>
        </w:rPr>
        <w:tab/>
      </w:r>
      <w:r>
        <w:rPr>
          <w:rFonts w:cs="Arial"/>
          <w:b/>
        </w:rPr>
        <w:tab/>
      </w:r>
      <w:r w:rsidR="002B4A5D" w:rsidRPr="00E16D65">
        <w:rPr>
          <w:rFonts w:cs="Arial"/>
          <w:b/>
        </w:rPr>
        <w:t xml:space="preserve">Adult Services </w:t>
      </w:r>
    </w:p>
    <w:p w14:paraId="316CB985" w14:textId="49184461" w:rsidR="002B4A5D" w:rsidRPr="000B5B51" w:rsidRDefault="002B4A5D" w:rsidP="002B4A5D">
      <w:pPr>
        <w:spacing w:after="160" w:line="259" w:lineRule="auto"/>
        <w:contextualSpacing/>
        <w:rPr>
          <w:rFonts w:cs="Arial"/>
          <w:bCs/>
          <w:u w:val="single"/>
        </w:rPr>
      </w:pPr>
    </w:p>
    <w:p w14:paraId="264AE6AF" w14:textId="202D6B63" w:rsidR="002B4A5D" w:rsidRPr="000B5B51"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Cs/>
        </w:rPr>
      </w:pPr>
      <w:r w:rsidRPr="000B5B51">
        <w:rPr>
          <w:rFonts w:cs="Arial"/>
          <w:bCs/>
          <w:szCs w:val="24"/>
        </w:rPr>
        <w:t>As at Q</w:t>
      </w:r>
      <w:r w:rsidR="000B5B51" w:rsidRPr="000B5B51">
        <w:rPr>
          <w:rFonts w:cs="Arial"/>
          <w:bCs/>
          <w:szCs w:val="24"/>
        </w:rPr>
        <w:t>2</w:t>
      </w:r>
      <w:r w:rsidRPr="000B5B51">
        <w:rPr>
          <w:rFonts w:cs="Arial"/>
          <w:bCs/>
          <w:szCs w:val="24"/>
        </w:rPr>
        <w:t xml:space="preserve"> the forecast spend is £</w:t>
      </w:r>
      <w:r w:rsidR="000B5B51" w:rsidRPr="000B5B51">
        <w:rPr>
          <w:rFonts w:cs="Arial"/>
          <w:bCs/>
          <w:szCs w:val="24"/>
        </w:rPr>
        <w:t>13</w:t>
      </w:r>
      <w:r w:rsidRPr="000B5B51">
        <w:rPr>
          <w:rFonts w:cs="Arial"/>
          <w:bCs/>
          <w:szCs w:val="24"/>
        </w:rPr>
        <w:t xml:space="preserve">8k which is </w:t>
      </w:r>
      <w:r w:rsidR="000B5B51" w:rsidRPr="000B5B51">
        <w:rPr>
          <w:rFonts w:cs="Arial"/>
          <w:bCs/>
          <w:szCs w:val="24"/>
        </w:rPr>
        <w:t>3</w:t>
      </w:r>
      <w:r w:rsidRPr="000B5B51">
        <w:rPr>
          <w:rFonts w:cs="Arial"/>
          <w:bCs/>
          <w:szCs w:val="24"/>
        </w:rPr>
        <w:t>8% of the total budget. The remaining £</w:t>
      </w:r>
      <w:r w:rsidR="000B5B51" w:rsidRPr="000B5B51">
        <w:rPr>
          <w:rFonts w:cs="Arial"/>
          <w:bCs/>
          <w:szCs w:val="24"/>
        </w:rPr>
        <w:t>220</w:t>
      </w:r>
      <w:r w:rsidRPr="000B5B51">
        <w:rPr>
          <w:rFonts w:cs="Arial"/>
          <w:bCs/>
          <w:szCs w:val="24"/>
        </w:rPr>
        <w:t>k is reported as slippage</w:t>
      </w:r>
      <w:r w:rsidR="00DC02F1" w:rsidRPr="000B5B51">
        <w:rPr>
          <w:rFonts w:cs="Arial"/>
          <w:bCs/>
        </w:rPr>
        <w:t>.</w:t>
      </w:r>
      <w:r w:rsidR="00AF347B" w:rsidRPr="000B5B51">
        <w:rPr>
          <w:rFonts w:cs="Arial"/>
          <w:bCs/>
        </w:rPr>
        <w:t xml:space="preserve"> </w:t>
      </w:r>
    </w:p>
    <w:p w14:paraId="634CB8A8" w14:textId="77777777" w:rsidR="0092238D" w:rsidRPr="007C5E43" w:rsidRDefault="0092238D" w:rsidP="0092238D">
      <w:pPr>
        <w:pStyle w:val="ListParagraph"/>
        <w:tabs>
          <w:tab w:val="left" w:pos="142"/>
          <w:tab w:val="left" w:pos="284"/>
          <w:tab w:val="left" w:pos="709"/>
        </w:tabs>
        <w:spacing w:after="160" w:line="259" w:lineRule="auto"/>
        <w:ind w:left="709"/>
        <w:contextualSpacing/>
        <w:jc w:val="both"/>
        <w:rPr>
          <w:rFonts w:cs="Arial"/>
          <w:bCs/>
          <w:u w:val="single"/>
        </w:rPr>
      </w:pPr>
    </w:p>
    <w:p w14:paraId="284FAD8E" w14:textId="4F741E07" w:rsidR="002B4A5D" w:rsidRPr="002E0F2C" w:rsidRDefault="007C5E43"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color w:val="FF0000"/>
          <w:u w:val="single"/>
        </w:rPr>
      </w:pPr>
      <w:r w:rsidRPr="007C5E43">
        <w:rPr>
          <w:rFonts w:cs="Arial"/>
          <w:bCs/>
        </w:rPr>
        <w:t xml:space="preserve">The slippage relates to the Assistive Technology </w:t>
      </w:r>
      <w:r w:rsidR="00EF4214" w:rsidRPr="007C5E43">
        <w:rPr>
          <w:rFonts w:cs="Arial"/>
          <w:bCs/>
        </w:rPr>
        <w:t>Programme</w:t>
      </w:r>
      <w:r w:rsidRPr="007C5E43">
        <w:rPr>
          <w:rFonts w:cs="Arial"/>
          <w:bCs/>
        </w:rPr>
        <w:t xml:space="preserve"> where the service is scoping more products and looking for a cohort of people who might benefit from this technology. Potential reablement projects are being investigated in terms of cost and practicality</w:t>
      </w:r>
      <w:r>
        <w:rPr>
          <w:rFonts w:cs="Arial"/>
          <w:bCs/>
          <w:color w:val="FF0000"/>
        </w:rPr>
        <w:t xml:space="preserve">. </w:t>
      </w:r>
    </w:p>
    <w:p w14:paraId="229CF010" w14:textId="36001667" w:rsidR="0092238D" w:rsidRPr="00E16D65" w:rsidRDefault="00E16D65" w:rsidP="00E16D65">
      <w:pPr>
        <w:tabs>
          <w:tab w:val="left" w:pos="142"/>
          <w:tab w:val="left" w:pos="284"/>
          <w:tab w:val="left" w:pos="709"/>
        </w:tabs>
        <w:spacing w:after="160" w:line="259" w:lineRule="auto"/>
        <w:contextualSpacing/>
        <w:jc w:val="both"/>
        <w:rPr>
          <w:rFonts w:cs="Arial"/>
          <w:b/>
          <w:u w:val="single"/>
        </w:rPr>
      </w:pPr>
      <w:r>
        <w:rPr>
          <w:rFonts w:cs="Arial"/>
          <w:b/>
        </w:rPr>
        <w:tab/>
      </w:r>
      <w:r>
        <w:rPr>
          <w:rFonts w:cs="Arial"/>
          <w:b/>
        </w:rPr>
        <w:tab/>
      </w:r>
      <w:r>
        <w:rPr>
          <w:rFonts w:cs="Arial"/>
          <w:b/>
        </w:rPr>
        <w:tab/>
      </w:r>
      <w:r w:rsidR="002B4A5D" w:rsidRPr="00E16D65">
        <w:rPr>
          <w:rFonts w:cs="Arial"/>
          <w:b/>
        </w:rPr>
        <w:t>Public Health</w:t>
      </w:r>
    </w:p>
    <w:p w14:paraId="338C81DD" w14:textId="41FDECD3" w:rsidR="0092238D" w:rsidRPr="009F16FD"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9F16FD">
        <w:rPr>
          <w:rFonts w:cs="Arial"/>
          <w:szCs w:val="24"/>
        </w:rPr>
        <w:t>As at Q</w:t>
      </w:r>
      <w:r w:rsidR="009F16FD" w:rsidRPr="009F16FD">
        <w:rPr>
          <w:rFonts w:cs="Arial"/>
          <w:szCs w:val="24"/>
        </w:rPr>
        <w:t>2</w:t>
      </w:r>
      <w:r w:rsidRPr="009F16FD">
        <w:rPr>
          <w:rFonts w:cs="Arial"/>
          <w:szCs w:val="24"/>
        </w:rPr>
        <w:t xml:space="preserve"> the projected spend is </w:t>
      </w:r>
      <w:r w:rsidRPr="009F16FD">
        <w:rPr>
          <w:rFonts w:cs="Arial"/>
          <w:bCs/>
          <w:szCs w:val="24"/>
        </w:rPr>
        <w:t xml:space="preserve">£7k which represents 100% of the budget. </w:t>
      </w:r>
    </w:p>
    <w:p w14:paraId="53A771CD" w14:textId="77777777" w:rsidR="002B4A5D" w:rsidRPr="000B5B51" w:rsidRDefault="002B4A5D" w:rsidP="002B4A5D">
      <w:pPr>
        <w:pStyle w:val="ListParagraph"/>
        <w:rPr>
          <w:rFonts w:cs="Arial"/>
          <w:b/>
          <w:bCs/>
          <w:szCs w:val="24"/>
        </w:rPr>
      </w:pPr>
    </w:p>
    <w:p w14:paraId="52477039" w14:textId="2B691CB2" w:rsidR="00BF1336" w:rsidRPr="00E16D65" w:rsidRDefault="00E16D65" w:rsidP="00E16D65">
      <w:pPr>
        <w:tabs>
          <w:tab w:val="left" w:pos="142"/>
          <w:tab w:val="left" w:pos="284"/>
          <w:tab w:val="left" w:pos="709"/>
        </w:tabs>
        <w:spacing w:after="160" w:line="259" w:lineRule="auto"/>
        <w:contextualSpacing/>
        <w:jc w:val="both"/>
        <w:rPr>
          <w:rFonts w:cs="Arial"/>
          <w:b/>
          <w:u w:val="single"/>
        </w:rPr>
      </w:pPr>
      <w:r>
        <w:rPr>
          <w:rFonts w:cs="Arial"/>
          <w:b/>
          <w:bCs/>
          <w:szCs w:val="24"/>
        </w:rPr>
        <w:tab/>
      </w:r>
      <w:r>
        <w:rPr>
          <w:rFonts w:cs="Arial"/>
          <w:b/>
          <w:bCs/>
          <w:szCs w:val="24"/>
        </w:rPr>
        <w:tab/>
      </w:r>
      <w:r>
        <w:rPr>
          <w:rFonts w:cs="Arial"/>
          <w:b/>
          <w:bCs/>
          <w:szCs w:val="24"/>
        </w:rPr>
        <w:tab/>
      </w:r>
      <w:r w:rsidR="00BF1336" w:rsidRPr="00E16D65">
        <w:rPr>
          <w:rFonts w:cs="Arial"/>
          <w:b/>
          <w:bCs/>
          <w:szCs w:val="24"/>
        </w:rPr>
        <w:t>Children’s Services</w:t>
      </w:r>
    </w:p>
    <w:p w14:paraId="095D4FD1" w14:textId="77777777" w:rsidR="00BF1336" w:rsidRPr="000B5B51" w:rsidRDefault="00BF1336" w:rsidP="00BF1336">
      <w:pPr>
        <w:pStyle w:val="ListParagraph"/>
        <w:tabs>
          <w:tab w:val="left" w:pos="142"/>
          <w:tab w:val="left" w:pos="284"/>
          <w:tab w:val="left" w:pos="709"/>
        </w:tabs>
        <w:ind w:left="709"/>
        <w:jc w:val="both"/>
        <w:rPr>
          <w:rFonts w:cs="Arial"/>
          <w:szCs w:val="24"/>
        </w:rPr>
      </w:pPr>
    </w:p>
    <w:p w14:paraId="3BB50303" w14:textId="58B07C71" w:rsidR="00D461E5" w:rsidRPr="000B5B51"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0B5B51">
        <w:rPr>
          <w:rFonts w:cs="Arial"/>
        </w:rPr>
        <w:t>As at Q</w:t>
      </w:r>
      <w:r w:rsidR="000B5B51" w:rsidRPr="000B5B51">
        <w:rPr>
          <w:rFonts w:cs="Arial"/>
        </w:rPr>
        <w:t>2</w:t>
      </w:r>
      <w:r w:rsidRPr="000B5B51">
        <w:rPr>
          <w:rFonts w:cs="Arial"/>
        </w:rPr>
        <w:t xml:space="preserve"> the projected spend is £</w:t>
      </w:r>
      <w:r w:rsidR="000B5B51" w:rsidRPr="000B5B51">
        <w:rPr>
          <w:rFonts w:cs="Arial"/>
        </w:rPr>
        <w:t>5.966m</w:t>
      </w:r>
      <w:r w:rsidRPr="000B5B51">
        <w:rPr>
          <w:rFonts w:cs="Arial"/>
        </w:rPr>
        <w:t xml:space="preserve"> which is </w:t>
      </w:r>
      <w:r w:rsidR="000B5B51" w:rsidRPr="000B5B51">
        <w:rPr>
          <w:rFonts w:cs="Arial"/>
        </w:rPr>
        <w:t>21</w:t>
      </w:r>
      <w:r w:rsidRPr="000B5B51">
        <w:rPr>
          <w:rFonts w:cs="Arial"/>
        </w:rPr>
        <w:t>% of the total budget. The remaining £</w:t>
      </w:r>
      <w:r w:rsidR="000B5B51" w:rsidRPr="000B5B51">
        <w:rPr>
          <w:rFonts w:cs="Arial"/>
        </w:rPr>
        <w:t>21.858m</w:t>
      </w:r>
      <w:r w:rsidRPr="000B5B51">
        <w:rPr>
          <w:rFonts w:cs="Arial"/>
        </w:rPr>
        <w:t xml:space="preserve"> will be slipped to future years.</w:t>
      </w:r>
    </w:p>
    <w:p w14:paraId="47A633E2" w14:textId="77777777" w:rsidR="0092238D" w:rsidRPr="000B5B51" w:rsidRDefault="0092238D" w:rsidP="0092238D">
      <w:pPr>
        <w:pStyle w:val="ListParagraph"/>
        <w:rPr>
          <w:rFonts w:cs="Arial"/>
          <w:szCs w:val="24"/>
        </w:rPr>
      </w:pPr>
    </w:p>
    <w:p w14:paraId="1AAF06D7" w14:textId="765A4696" w:rsidR="0092238D" w:rsidRPr="000B5B51"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0B5B51">
        <w:rPr>
          <w:rFonts w:cs="Arial"/>
          <w:szCs w:val="24"/>
        </w:rPr>
        <w:t>Additional Basic Need Grant Funding of £14.973m was allocated to the LA in 2021-22 to enable the LA to meet its statutory duty of providing sufficient mainstream school places. However, the current projections indicate that there is not a requirement for any permanent expansion at this stage. Funding allocated for bulge classes and historical capital maintenance funding, also funded from grant, will also be slipped to future years as this is not currently required.</w:t>
      </w:r>
    </w:p>
    <w:p w14:paraId="2A415971" w14:textId="77777777" w:rsidR="00D461E5" w:rsidRPr="000B5B51" w:rsidRDefault="00D461E5" w:rsidP="00D461E5">
      <w:pPr>
        <w:pStyle w:val="ListParagraph"/>
        <w:rPr>
          <w:rFonts w:cs="Arial"/>
        </w:rPr>
      </w:pPr>
    </w:p>
    <w:p w14:paraId="29B05CAC" w14:textId="0871B6EA" w:rsidR="00BF1336" w:rsidRPr="0095082B" w:rsidRDefault="00233A07" w:rsidP="001619BF">
      <w:pPr>
        <w:pStyle w:val="ListParagraph"/>
        <w:numPr>
          <w:ilvl w:val="1"/>
          <w:numId w:val="16"/>
        </w:numPr>
        <w:tabs>
          <w:tab w:val="left" w:pos="142"/>
          <w:tab w:val="left" w:pos="284"/>
          <w:tab w:val="left" w:pos="709"/>
        </w:tabs>
        <w:ind w:left="709" w:hanging="709"/>
        <w:jc w:val="both"/>
        <w:rPr>
          <w:rFonts w:cs="Arial"/>
          <w:szCs w:val="24"/>
        </w:rPr>
      </w:pPr>
      <w:r w:rsidRPr="0095082B">
        <w:rPr>
          <w:rFonts w:cs="Arial"/>
        </w:rPr>
        <w:t>There are no revenue implications as a result of this slippage.</w:t>
      </w:r>
    </w:p>
    <w:p w14:paraId="6EC7BCC8" w14:textId="4A3D8014" w:rsidR="002E0F2C" w:rsidRPr="0095082B" w:rsidRDefault="002E0F2C" w:rsidP="002E0F2C">
      <w:pPr>
        <w:rPr>
          <w:rFonts w:cs="Arial"/>
          <w:szCs w:val="24"/>
        </w:rPr>
      </w:pPr>
    </w:p>
    <w:p w14:paraId="34675283" w14:textId="52CFC624" w:rsidR="002E0F2C" w:rsidRPr="0095082B" w:rsidRDefault="002E0F2C" w:rsidP="002E0F2C">
      <w:pPr>
        <w:rPr>
          <w:rFonts w:cs="Arial"/>
          <w:b/>
          <w:bCs/>
          <w:szCs w:val="24"/>
        </w:rPr>
      </w:pPr>
      <w:r w:rsidRPr="0095082B">
        <w:rPr>
          <w:rFonts w:cs="Arial"/>
          <w:b/>
          <w:bCs/>
          <w:szCs w:val="24"/>
        </w:rPr>
        <w:t>ADDITIONS AND AMENDMENTS TO THE CAPITAL PROGRAMME</w:t>
      </w:r>
    </w:p>
    <w:p w14:paraId="7D71E1A5" w14:textId="14EA7AF8" w:rsidR="002E0F2C" w:rsidRPr="0095082B" w:rsidRDefault="002E0F2C" w:rsidP="002E0F2C">
      <w:pPr>
        <w:pStyle w:val="ListParagraph"/>
        <w:rPr>
          <w:rFonts w:cs="Arial"/>
          <w:szCs w:val="24"/>
        </w:rPr>
      </w:pPr>
    </w:p>
    <w:p w14:paraId="027C31AC" w14:textId="77777777" w:rsidR="002E0F2C" w:rsidRPr="0095082B" w:rsidRDefault="002E0F2C" w:rsidP="002E0F2C">
      <w:pPr>
        <w:pStyle w:val="ListParagraph"/>
        <w:rPr>
          <w:rFonts w:cs="Arial"/>
          <w:szCs w:val="24"/>
        </w:rPr>
      </w:pPr>
    </w:p>
    <w:p w14:paraId="0D82D23A" w14:textId="783F269C" w:rsidR="002E0F2C" w:rsidRPr="0095082B" w:rsidRDefault="0095082B" w:rsidP="001619BF">
      <w:pPr>
        <w:pStyle w:val="ListParagraph"/>
        <w:numPr>
          <w:ilvl w:val="1"/>
          <w:numId w:val="16"/>
        </w:numPr>
        <w:tabs>
          <w:tab w:val="left" w:pos="142"/>
          <w:tab w:val="left" w:pos="284"/>
          <w:tab w:val="left" w:pos="709"/>
        </w:tabs>
        <w:ind w:left="709" w:hanging="709"/>
        <w:jc w:val="both"/>
        <w:rPr>
          <w:rFonts w:cs="Arial"/>
          <w:b/>
          <w:bCs/>
          <w:szCs w:val="24"/>
        </w:rPr>
      </w:pPr>
      <w:r w:rsidRPr="0095082B">
        <w:rPr>
          <w:rFonts w:cs="Arial"/>
          <w:b/>
          <w:bCs/>
          <w:szCs w:val="24"/>
        </w:rPr>
        <w:t>Harrow Leisure Centre S106 Funding £45,325</w:t>
      </w:r>
    </w:p>
    <w:p w14:paraId="29B92B5B" w14:textId="77777777" w:rsidR="0095082B" w:rsidRPr="0095082B" w:rsidRDefault="0095082B" w:rsidP="0095082B">
      <w:pPr>
        <w:pStyle w:val="ListParagraph"/>
        <w:tabs>
          <w:tab w:val="left" w:pos="142"/>
          <w:tab w:val="left" w:pos="284"/>
          <w:tab w:val="left" w:pos="709"/>
        </w:tabs>
        <w:ind w:left="709"/>
        <w:jc w:val="both"/>
        <w:rPr>
          <w:rFonts w:cs="Arial"/>
          <w:szCs w:val="24"/>
        </w:rPr>
      </w:pPr>
    </w:p>
    <w:p w14:paraId="69619E5A" w14:textId="4D98C15F" w:rsidR="0095082B" w:rsidRPr="0095082B" w:rsidRDefault="0095082B" w:rsidP="001619BF">
      <w:pPr>
        <w:pStyle w:val="ListParagraph"/>
        <w:numPr>
          <w:ilvl w:val="1"/>
          <w:numId w:val="16"/>
        </w:numPr>
        <w:tabs>
          <w:tab w:val="left" w:pos="142"/>
          <w:tab w:val="left" w:pos="284"/>
          <w:tab w:val="left" w:pos="709"/>
        </w:tabs>
        <w:ind w:left="709" w:hanging="709"/>
        <w:jc w:val="both"/>
        <w:rPr>
          <w:rFonts w:cs="Arial"/>
          <w:szCs w:val="24"/>
        </w:rPr>
      </w:pPr>
      <w:r w:rsidRPr="0095082B">
        <w:rPr>
          <w:rFonts w:cs="Arial"/>
          <w:szCs w:val="24"/>
        </w:rPr>
        <w:t>S106 funding of £45,325 earmarked for the improvement of Harrow Leisure Centre is being applied to contribute towards the cost of renovating the wet side changing facilities. It is therefore proposed that a budget of £45,325 is added to the 2022-23 capital programme.</w:t>
      </w:r>
    </w:p>
    <w:p w14:paraId="43B666D2" w14:textId="5E668475" w:rsidR="00BF1336" w:rsidRDefault="00BF1336" w:rsidP="00BF1336">
      <w:pPr>
        <w:pStyle w:val="ListParagraph"/>
        <w:tabs>
          <w:tab w:val="left" w:pos="142"/>
          <w:tab w:val="left" w:pos="284"/>
          <w:tab w:val="left" w:pos="709"/>
        </w:tabs>
        <w:ind w:left="709"/>
        <w:jc w:val="both"/>
        <w:rPr>
          <w:rFonts w:cs="Arial"/>
          <w:b/>
          <w:bCs/>
          <w:color w:val="FF0000"/>
          <w:szCs w:val="24"/>
        </w:rPr>
      </w:pPr>
    </w:p>
    <w:p w14:paraId="1DF45E5D" w14:textId="42D4D1CE" w:rsidR="00755704" w:rsidRDefault="00755704" w:rsidP="00BF1336">
      <w:pPr>
        <w:pStyle w:val="ListParagraph"/>
        <w:tabs>
          <w:tab w:val="left" w:pos="142"/>
          <w:tab w:val="left" w:pos="284"/>
          <w:tab w:val="left" w:pos="709"/>
        </w:tabs>
        <w:ind w:left="709"/>
        <w:jc w:val="both"/>
        <w:rPr>
          <w:rFonts w:cs="Arial"/>
          <w:b/>
          <w:bCs/>
          <w:color w:val="FF0000"/>
          <w:szCs w:val="24"/>
        </w:rPr>
      </w:pPr>
    </w:p>
    <w:p w14:paraId="521EA08D" w14:textId="7D9079BB" w:rsidR="007C5702" w:rsidRPr="00542808" w:rsidRDefault="001C2ADC" w:rsidP="00AF06B3">
      <w:pPr>
        <w:pStyle w:val="ListParagraph"/>
        <w:numPr>
          <w:ilvl w:val="0"/>
          <w:numId w:val="5"/>
        </w:numPr>
        <w:tabs>
          <w:tab w:val="left" w:pos="567"/>
        </w:tabs>
        <w:ind w:left="567" w:hanging="567"/>
        <w:jc w:val="both"/>
        <w:rPr>
          <w:rFonts w:cs="Arial"/>
          <w:b/>
          <w:color w:val="000000" w:themeColor="text1"/>
          <w:szCs w:val="24"/>
          <w:u w:val="single"/>
        </w:rPr>
      </w:pPr>
      <w:r w:rsidRPr="00542808">
        <w:rPr>
          <w:rFonts w:cs="Arial"/>
          <w:b/>
          <w:color w:val="000000" w:themeColor="text1"/>
          <w:szCs w:val="24"/>
          <w:u w:val="single"/>
        </w:rPr>
        <w:lastRenderedPageBreak/>
        <w:t xml:space="preserve">COUNCIL TRADING STRUCTURE UPDATE </w:t>
      </w:r>
      <w:r w:rsidR="00542808" w:rsidRPr="00542808">
        <w:rPr>
          <w:rFonts w:cs="Arial"/>
          <w:b/>
          <w:color w:val="000000" w:themeColor="text1"/>
          <w:szCs w:val="24"/>
          <w:u w:val="single"/>
        </w:rPr>
        <w:t>2022-23</w:t>
      </w:r>
      <w:r w:rsidRPr="00542808">
        <w:rPr>
          <w:rFonts w:cs="Arial"/>
          <w:b/>
          <w:color w:val="000000" w:themeColor="text1"/>
          <w:szCs w:val="24"/>
          <w:u w:val="single"/>
        </w:rPr>
        <w:t xml:space="preserve"> </w:t>
      </w:r>
    </w:p>
    <w:p w14:paraId="484B8B33" w14:textId="77777777" w:rsidR="00DD22D7" w:rsidRPr="00542808" w:rsidRDefault="00DD22D7" w:rsidP="00DD22D7">
      <w:pPr>
        <w:pStyle w:val="ListParagraph"/>
        <w:tabs>
          <w:tab w:val="left" w:pos="567"/>
        </w:tabs>
        <w:ind w:left="567"/>
        <w:jc w:val="both"/>
        <w:rPr>
          <w:rFonts w:cs="Arial"/>
          <w:b/>
          <w:color w:val="000000" w:themeColor="text1"/>
          <w:szCs w:val="24"/>
          <w:u w:val="single"/>
        </w:rPr>
      </w:pPr>
    </w:p>
    <w:p w14:paraId="2651DDB3" w14:textId="159EDE5B" w:rsidR="00A2107D" w:rsidRPr="00900357" w:rsidRDefault="007C5702" w:rsidP="00AF06B3">
      <w:pPr>
        <w:pStyle w:val="ListParagraph"/>
        <w:numPr>
          <w:ilvl w:val="1"/>
          <w:numId w:val="10"/>
        </w:numPr>
        <w:tabs>
          <w:tab w:val="left" w:pos="567"/>
        </w:tabs>
        <w:ind w:left="567" w:hanging="567"/>
        <w:jc w:val="both"/>
        <w:rPr>
          <w:color w:val="000000" w:themeColor="text1"/>
        </w:rPr>
      </w:pPr>
      <w:r w:rsidRPr="00542808">
        <w:rPr>
          <w:rFonts w:cs="Arial"/>
          <w:color w:val="000000" w:themeColor="text1"/>
          <w:szCs w:val="24"/>
        </w:rPr>
        <w:t>The</w:t>
      </w:r>
      <w:r w:rsidR="001C2ADC" w:rsidRPr="00542808">
        <w:rPr>
          <w:rFonts w:cs="Arial"/>
          <w:color w:val="000000" w:themeColor="text1"/>
          <w:szCs w:val="24"/>
        </w:rPr>
        <w:t xml:space="preserve"> Council’s Trading Structure update is attached at Appendix </w:t>
      </w:r>
      <w:r w:rsidR="00542808" w:rsidRPr="00542808">
        <w:rPr>
          <w:rFonts w:cs="Arial"/>
          <w:color w:val="000000" w:themeColor="text1"/>
          <w:szCs w:val="24"/>
        </w:rPr>
        <w:t>3</w:t>
      </w:r>
      <w:r w:rsidR="002C5BD7" w:rsidRPr="00542808">
        <w:rPr>
          <w:rFonts w:cs="Arial"/>
          <w:color w:val="000000" w:themeColor="text1"/>
          <w:szCs w:val="24"/>
        </w:rPr>
        <w:t xml:space="preserve"> and summarises the financial position and provides a general update on the activities of all the </w:t>
      </w:r>
      <w:r w:rsidR="002C5BD7" w:rsidRPr="00900357">
        <w:rPr>
          <w:rFonts w:cs="Arial"/>
          <w:color w:val="000000" w:themeColor="text1"/>
          <w:szCs w:val="24"/>
        </w:rPr>
        <w:t>Council’s trading entities.</w:t>
      </w:r>
    </w:p>
    <w:p w14:paraId="0AC508FA" w14:textId="74E09B43" w:rsidR="00AE6F45" w:rsidRPr="00900357" w:rsidRDefault="00AE6F45" w:rsidP="00755704">
      <w:pPr>
        <w:pStyle w:val="ListParagraph"/>
        <w:tabs>
          <w:tab w:val="left" w:pos="567"/>
        </w:tabs>
        <w:ind w:left="567"/>
        <w:jc w:val="both"/>
        <w:rPr>
          <w:color w:val="000000" w:themeColor="text1"/>
        </w:rPr>
      </w:pPr>
    </w:p>
    <w:p w14:paraId="5F9BBE4E" w14:textId="71C7EEB0" w:rsidR="00AE6F45" w:rsidRPr="00900357" w:rsidRDefault="00AE6F45" w:rsidP="00AF06B3">
      <w:pPr>
        <w:pStyle w:val="ListParagraph"/>
        <w:numPr>
          <w:ilvl w:val="1"/>
          <w:numId w:val="10"/>
        </w:numPr>
        <w:tabs>
          <w:tab w:val="left" w:pos="567"/>
        </w:tabs>
        <w:ind w:left="567" w:hanging="567"/>
        <w:jc w:val="both"/>
        <w:rPr>
          <w:color w:val="000000" w:themeColor="text1"/>
        </w:rPr>
      </w:pPr>
      <w:r w:rsidRPr="00900357">
        <w:rPr>
          <w:color w:val="000000" w:themeColor="text1"/>
        </w:rPr>
        <w:t xml:space="preserve">Sancroft Community Care Limited (SCCL), a wholly owned company of the Council has been providing residential </w:t>
      </w:r>
      <w:r w:rsidR="00AB501D" w:rsidRPr="00900357">
        <w:rPr>
          <w:color w:val="000000" w:themeColor="text1"/>
        </w:rPr>
        <w:t xml:space="preserve">and specialist dementia care </w:t>
      </w:r>
      <w:r w:rsidRPr="00900357">
        <w:rPr>
          <w:color w:val="000000" w:themeColor="text1"/>
        </w:rPr>
        <w:t xml:space="preserve">services to Adult Social Care under contract since January 2018. The initial five years of the contract come to an end on </w:t>
      </w:r>
      <w:r w:rsidR="00E96A83" w:rsidRPr="00900357">
        <w:rPr>
          <w:color w:val="000000" w:themeColor="text1"/>
        </w:rPr>
        <w:t>7</w:t>
      </w:r>
      <w:r w:rsidRPr="00900357">
        <w:rPr>
          <w:color w:val="000000" w:themeColor="text1"/>
        </w:rPr>
        <w:t xml:space="preserve"> February 2023.</w:t>
      </w:r>
    </w:p>
    <w:p w14:paraId="5BECF204" w14:textId="77777777" w:rsidR="00AE6F45" w:rsidRPr="00900357" w:rsidRDefault="00AE6F45" w:rsidP="00755704">
      <w:pPr>
        <w:pStyle w:val="ListParagraph"/>
        <w:rPr>
          <w:color w:val="000000" w:themeColor="text1"/>
        </w:rPr>
      </w:pPr>
    </w:p>
    <w:p w14:paraId="7A6E48A2" w14:textId="77777777" w:rsidR="00AB501D" w:rsidRPr="00900357" w:rsidRDefault="00AE6F45" w:rsidP="00AF06B3">
      <w:pPr>
        <w:pStyle w:val="ListParagraph"/>
        <w:numPr>
          <w:ilvl w:val="1"/>
          <w:numId w:val="10"/>
        </w:numPr>
        <w:tabs>
          <w:tab w:val="left" w:pos="567"/>
        </w:tabs>
        <w:ind w:left="567" w:hanging="567"/>
        <w:jc w:val="both"/>
        <w:rPr>
          <w:color w:val="000000" w:themeColor="text1"/>
        </w:rPr>
      </w:pPr>
      <w:r w:rsidRPr="00900357">
        <w:rPr>
          <w:color w:val="000000" w:themeColor="text1"/>
        </w:rPr>
        <w:t xml:space="preserve">A strategic review is currently being undertaken on the future </w:t>
      </w:r>
      <w:r w:rsidR="00AB501D" w:rsidRPr="00900357">
        <w:rPr>
          <w:color w:val="000000" w:themeColor="text1"/>
        </w:rPr>
        <w:t xml:space="preserve">options available to the Council for </w:t>
      </w:r>
      <w:r w:rsidRPr="00900357">
        <w:rPr>
          <w:color w:val="000000" w:themeColor="text1"/>
        </w:rPr>
        <w:t xml:space="preserve">SCCL and will be the subject of a </w:t>
      </w:r>
      <w:r w:rsidR="00AB501D" w:rsidRPr="00900357">
        <w:rPr>
          <w:color w:val="000000" w:themeColor="text1"/>
        </w:rPr>
        <w:t xml:space="preserve">future </w:t>
      </w:r>
      <w:r w:rsidRPr="00900357">
        <w:rPr>
          <w:color w:val="000000" w:themeColor="text1"/>
        </w:rPr>
        <w:t>report to Cabinet.</w:t>
      </w:r>
      <w:r w:rsidR="00AB501D" w:rsidRPr="00900357">
        <w:rPr>
          <w:color w:val="000000" w:themeColor="text1"/>
        </w:rPr>
        <w:t xml:space="preserve"> </w:t>
      </w:r>
    </w:p>
    <w:p w14:paraId="73E55607" w14:textId="77777777" w:rsidR="00AB501D" w:rsidRPr="00900357" w:rsidRDefault="00AB501D" w:rsidP="00755704">
      <w:pPr>
        <w:pStyle w:val="ListParagraph"/>
        <w:rPr>
          <w:color w:val="000000" w:themeColor="text1"/>
        </w:rPr>
      </w:pPr>
    </w:p>
    <w:p w14:paraId="65ADE9BD" w14:textId="355BE034" w:rsidR="00AE6F45" w:rsidRPr="00900357" w:rsidRDefault="00AB501D" w:rsidP="00AF06B3">
      <w:pPr>
        <w:pStyle w:val="ListParagraph"/>
        <w:numPr>
          <w:ilvl w:val="1"/>
          <w:numId w:val="10"/>
        </w:numPr>
        <w:tabs>
          <w:tab w:val="left" w:pos="567"/>
        </w:tabs>
        <w:ind w:left="567" w:hanging="567"/>
        <w:jc w:val="both"/>
        <w:rPr>
          <w:color w:val="000000" w:themeColor="text1"/>
        </w:rPr>
      </w:pPr>
      <w:r w:rsidRPr="00900357">
        <w:rPr>
          <w:color w:val="000000" w:themeColor="text1"/>
        </w:rPr>
        <w:t xml:space="preserve">The recommendation at the front of this report is seeking an extension to the contract between the Council and SCCL for the provision of residential and specialist dementia care services for up to 2 years. This will allow the Council to complete the strategic review and facilitate the implementation of the preferred option. The contract with SCCL </w:t>
      </w:r>
      <w:r w:rsidR="006A34C3" w:rsidRPr="00900357">
        <w:rPr>
          <w:color w:val="000000" w:themeColor="text1"/>
        </w:rPr>
        <w:t>allows under clause 35A the Council to terminate the agreement with SCCL at any time by giving 6 months written notice.</w:t>
      </w:r>
    </w:p>
    <w:p w14:paraId="7C188A0C" w14:textId="71553502" w:rsidR="00333BDE" w:rsidRPr="00900357" w:rsidRDefault="00333BDE" w:rsidP="003634DA">
      <w:pPr>
        <w:pStyle w:val="ListParagraph"/>
        <w:tabs>
          <w:tab w:val="left" w:pos="567"/>
        </w:tabs>
        <w:ind w:left="567"/>
        <w:jc w:val="both"/>
        <w:rPr>
          <w:rFonts w:cs="Arial"/>
          <w:color w:val="FF0000"/>
          <w:szCs w:val="24"/>
        </w:rPr>
      </w:pPr>
    </w:p>
    <w:p w14:paraId="6806E5E2" w14:textId="49346F46" w:rsidR="005641E0" w:rsidRPr="00900357" w:rsidRDefault="002C5BD7" w:rsidP="00AF06B3">
      <w:pPr>
        <w:pStyle w:val="ListParagraph"/>
        <w:numPr>
          <w:ilvl w:val="0"/>
          <w:numId w:val="5"/>
        </w:numPr>
        <w:ind w:left="567" w:hanging="567"/>
        <w:jc w:val="both"/>
        <w:rPr>
          <w:b/>
          <w:color w:val="000000" w:themeColor="text1"/>
          <w:szCs w:val="24"/>
          <w:u w:val="single"/>
        </w:rPr>
      </w:pPr>
      <w:r w:rsidRPr="00900357">
        <w:rPr>
          <w:b/>
          <w:color w:val="000000" w:themeColor="text1"/>
          <w:szCs w:val="24"/>
          <w:u w:val="single"/>
        </w:rPr>
        <w:t xml:space="preserve">REPORTING FOR THE </w:t>
      </w:r>
      <w:r w:rsidR="00542808" w:rsidRPr="00900357">
        <w:rPr>
          <w:b/>
          <w:color w:val="000000" w:themeColor="text1"/>
          <w:szCs w:val="24"/>
          <w:u w:val="single"/>
        </w:rPr>
        <w:t>2022-23</w:t>
      </w:r>
      <w:r w:rsidRPr="00900357">
        <w:rPr>
          <w:b/>
          <w:color w:val="000000" w:themeColor="text1"/>
          <w:szCs w:val="24"/>
          <w:u w:val="single"/>
        </w:rPr>
        <w:t xml:space="preserve"> FINANCIAL YEAR</w:t>
      </w:r>
    </w:p>
    <w:p w14:paraId="3C11B41B" w14:textId="77777777" w:rsidR="002C5BD7" w:rsidRPr="000942BF" w:rsidRDefault="002C5BD7" w:rsidP="00487CDB">
      <w:pPr>
        <w:jc w:val="both"/>
        <w:rPr>
          <w:b/>
          <w:color w:val="000000" w:themeColor="text1"/>
          <w:szCs w:val="24"/>
          <w:u w:val="single"/>
        </w:rPr>
      </w:pPr>
    </w:p>
    <w:p w14:paraId="10EF8BD3" w14:textId="3E157FFF" w:rsidR="005641E0" w:rsidRPr="000942BF" w:rsidRDefault="004325F9" w:rsidP="00AF06B3">
      <w:pPr>
        <w:pStyle w:val="ListParagraph"/>
        <w:numPr>
          <w:ilvl w:val="1"/>
          <w:numId w:val="5"/>
        </w:numPr>
        <w:ind w:left="567" w:hanging="567"/>
        <w:jc w:val="both"/>
        <w:rPr>
          <w:color w:val="000000" w:themeColor="text1"/>
          <w:szCs w:val="24"/>
        </w:rPr>
      </w:pPr>
      <w:r w:rsidRPr="000942BF">
        <w:rPr>
          <w:color w:val="000000" w:themeColor="text1"/>
          <w:szCs w:val="24"/>
        </w:rPr>
        <w:t>This</w:t>
      </w:r>
      <w:r w:rsidR="00F52080" w:rsidRPr="000942BF">
        <w:rPr>
          <w:color w:val="000000" w:themeColor="text1"/>
          <w:szCs w:val="24"/>
        </w:rPr>
        <w:t xml:space="preserve"> is the</w:t>
      </w:r>
      <w:r w:rsidR="00291123" w:rsidRPr="000942BF">
        <w:rPr>
          <w:color w:val="000000" w:themeColor="text1"/>
          <w:szCs w:val="24"/>
        </w:rPr>
        <w:t xml:space="preserve"> </w:t>
      </w:r>
      <w:r w:rsidR="002E0F2C">
        <w:rPr>
          <w:color w:val="000000" w:themeColor="text1"/>
          <w:szCs w:val="24"/>
        </w:rPr>
        <w:t>second</w:t>
      </w:r>
      <w:r w:rsidR="00F52080" w:rsidRPr="000942BF">
        <w:rPr>
          <w:color w:val="000000" w:themeColor="text1"/>
          <w:szCs w:val="24"/>
        </w:rPr>
        <w:t xml:space="preserve"> revenue and capital budget monitoring report for </w:t>
      </w:r>
      <w:r w:rsidR="000942BF" w:rsidRPr="000942BF">
        <w:rPr>
          <w:color w:val="000000" w:themeColor="text1"/>
          <w:szCs w:val="24"/>
        </w:rPr>
        <w:t>2022-23</w:t>
      </w:r>
    </w:p>
    <w:p w14:paraId="6DFBFED9" w14:textId="77777777" w:rsidR="000942BF" w:rsidRDefault="000942BF" w:rsidP="000942BF">
      <w:pPr>
        <w:pStyle w:val="ListParagraph"/>
        <w:ind w:left="567"/>
        <w:jc w:val="both"/>
        <w:rPr>
          <w:color w:val="000000" w:themeColor="text1"/>
          <w:szCs w:val="24"/>
        </w:rPr>
      </w:pPr>
    </w:p>
    <w:p w14:paraId="78676874" w14:textId="58271275" w:rsidR="000942BF" w:rsidRPr="000942BF" w:rsidRDefault="000942BF" w:rsidP="00AF06B3">
      <w:pPr>
        <w:pStyle w:val="ListParagraph"/>
        <w:numPr>
          <w:ilvl w:val="1"/>
          <w:numId w:val="5"/>
        </w:numPr>
        <w:ind w:left="567" w:hanging="567"/>
        <w:jc w:val="both"/>
        <w:rPr>
          <w:color w:val="000000" w:themeColor="text1"/>
          <w:szCs w:val="24"/>
        </w:rPr>
      </w:pPr>
      <w:r w:rsidRPr="000942BF">
        <w:rPr>
          <w:color w:val="000000" w:themeColor="text1"/>
          <w:szCs w:val="24"/>
        </w:rPr>
        <w:t>Cabinet will receive quarterly monitoring reports during the year as follows:</w:t>
      </w:r>
    </w:p>
    <w:p w14:paraId="0029A18B" w14:textId="6B88731F"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 xml:space="preserve">Q3 Revenue &amp; Capital Monitoring – </w:t>
      </w:r>
      <w:r w:rsidR="001619BF">
        <w:rPr>
          <w:color w:val="000000" w:themeColor="text1"/>
          <w:szCs w:val="24"/>
        </w:rPr>
        <w:t>February 2023</w:t>
      </w:r>
    </w:p>
    <w:p w14:paraId="0937E783" w14:textId="5C9CA317"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Q4/Final Revenue &amp; Capital Monitoring – July 2023</w:t>
      </w:r>
    </w:p>
    <w:p w14:paraId="601140E8" w14:textId="77777777" w:rsidR="000942BF" w:rsidRPr="000942BF" w:rsidRDefault="000942BF" w:rsidP="000942BF">
      <w:pPr>
        <w:pStyle w:val="ListParagraph"/>
        <w:ind w:left="1364"/>
        <w:jc w:val="both"/>
        <w:rPr>
          <w:color w:val="000000" w:themeColor="text1"/>
          <w:szCs w:val="24"/>
        </w:rPr>
      </w:pPr>
    </w:p>
    <w:p w14:paraId="6963CCA6" w14:textId="31F612B0" w:rsidR="00333FAA" w:rsidRPr="000942BF" w:rsidRDefault="00BC74D1" w:rsidP="006A200B">
      <w:pPr>
        <w:pStyle w:val="Heading2"/>
        <w:ind w:left="567" w:hanging="567"/>
        <w:jc w:val="both"/>
        <w:rPr>
          <w:color w:val="000000" w:themeColor="text1"/>
          <w:sz w:val="24"/>
          <w:szCs w:val="24"/>
        </w:rPr>
      </w:pPr>
      <w:r w:rsidRPr="000942BF">
        <w:rPr>
          <w:b w:val="0"/>
          <w:color w:val="000000" w:themeColor="text1"/>
          <w:sz w:val="24"/>
          <w:szCs w:val="24"/>
        </w:rPr>
        <w:t>6</w:t>
      </w:r>
      <w:r w:rsidR="004C0103" w:rsidRPr="000942BF">
        <w:rPr>
          <w:b w:val="0"/>
          <w:color w:val="000000" w:themeColor="text1"/>
          <w:sz w:val="24"/>
          <w:szCs w:val="24"/>
        </w:rPr>
        <w:t>.0</w:t>
      </w:r>
      <w:r w:rsidR="00A80770" w:rsidRPr="000942BF">
        <w:rPr>
          <w:color w:val="000000" w:themeColor="text1"/>
          <w:sz w:val="24"/>
          <w:szCs w:val="24"/>
        </w:rPr>
        <w:t xml:space="preserve">    </w:t>
      </w:r>
      <w:r w:rsidR="00333FAA" w:rsidRPr="000942BF">
        <w:rPr>
          <w:color w:val="000000" w:themeColor="text1"/>
          <w:sz w:val="24"/>
          <w:szCs w:val="24"/>
        </w:rPr>
        <w:t>Implications of the Recommendation</w:t>
      </w:r>
    </w:p>
    <w:p w14:paraId="34AEEF65" w14:textId="4837C5E0" w:rsidR="005641E0" w:rsidRPr="000942BF" w:rsidRDefault="00A80770" w:rsidP="002E1DF4">
      <w:pPr>
        <w:ind w:left="709" w:hanging="709"/>
        <w:jc w:val="both"/>
        <w:rPr>
          <w:color w:val="000000" w:themeColor="text1"/>
          <w:szCs w:val="24"/>
        </w:rPr>
      </w:pPr>
      <w:r w:rsidRPr="000942BF">
        <w:rPr>
          <w:b/>
          <w:color w:val="000000" w:themeColor="text1"/>
          <w:szCs w:val="24"/>
        </w:rPr>
        <w:t xml:space="preserve">         </w:t>
      </w:r>
      <w:r w:rsidR="006D3BD9" w:rsidRPr="000942BF">
        <w:rPr>
          <w:color w:val="000000" w:themeColor="text1"/>
          <w:szCs w:val="24"/>
        </w:rPr>
        <w:t>Implications of recommendation are set out in the body of this report.</w:t>
      </w:r>
    </w:p>
    <w:p w14:paraId="3622CF88" w14:textId="42247660" w:rsidR="00955421" w:rsidRPr="00CB7869" w:rsidRDefault="00955421" w:rsidP="00AF66F2">
      <w:pPr>
        <w:jc w:val="both"/>
        <w:rPr>
          <w:b/>
          <w:color w:val="FF0000"/>
          <w:szCs w:val="24"/>
        </w:rPr>
      </w:pPr>
    </w:p>
    <w:p w14:paraId="70806613" w14:textId="63292056" w:rsidR="00333FAA" w:rsidRPr="00CC3A3C" w:rsidRDefault="00BC74D1" w:rsidP="003634DA">
      <w:pPr>
        <w:pStyle w:val="Heading4"/>
        <w:tabs>
          <w:tab w:val="left" w:pos="567"/>
        </w:tabs>
        <w:jc w:val="both"/>
        <w:rPr>
          <w:szCs w:val="24"/>
        </w:rPr>
      </w:pPr>
      <w:r w:rsidRPr="00CC3A3C">
        <w:rPr>
          <w:b w:val="0"/>
          <w:szCs w:val="24"/>
        </w:rPr>
        <w:t>7</w:t>
      </w:r>
      <w:r w:rsidR="004C0103" w:rsidRPr="00CC3A3C">
        <w:rPr>
          <w:b w:val="0"/>
          <w:szCs w:val="24"/>
        </w:rPr>
        <w:t>.0</w:t>
      </w:r>
      <w:r w:rsidR="004C0103" w:rsidRPr="00CC3A3C">
        <w:rPr>
          <w:b w:val="0"/>
          <w:szCs w:val="24"/>
        </w:rPr>
        <w:tab/>
      </w:r>
      <w:r w:rsidR="00333FAA" w:rsidRPr="00CC3A3C">
        <w:rPr>
          <w:szCs w:val="24"/>
        </w:rPr>
        <w:t>Performance Issues</w:t>
      </w:r>
      <w:r w:rsidR="001C7E35" w:rsidRPr="00CC3A3C">
        <w:rPr>
          <w:szCs w:val="24"/>
        </w:rPr>
        <w:tab/>
      </w:r>
    </w:p>
    <w:p w14:paraId="3516F3B6" w14:textId="77777777" w:rsidR="002F6F08" w:rsidRPr="00CC3A3C" w:rsidRDefault="002F6F08" w:rsidP="003634DA">
      <w:pPr>
        <w:tabs>
          <w:tab w:val="left" w:pos="7245"/>
        </w:tabs>
        <w:ind w:left="567"/>
        <w:jc w:val="both"/>
        <w:rPr>
          <w:szCs w:val="24"/>
        </w:rPr>
      </w:pPr>
    </w:p>
    <w:p w14:paraId="2669770A" w14:textId="4355291C" w:rsidR="007935C5" w:rsidRPr="00CC3A3C" w:rsidRDefault="007935C5" w:rsidP="003634DA">
      <w:pPr>
        <w:tabs>
          <w:tab w:val="left" w:pos="7245"/>
        </w:tabs>
        <w:ind w:left="567"/>
        <w:jc w:val="both"/>
        <w:rPr>
          <w:szCs w:val="24"/>
          <w:lang w:val="en-US"/>
        </w:rPr>
      </w:pPr>
      <w:r w:rsidRPr="00CC3A3C">
        <w:rPr>
          <w:szCs w:val="24"/>
        </w:rPr>
        <w:t xml:space="preserve">Good financial monitoring is essential to </w:t>
      </w:r>
      <w:r w:rsidRPr="00CC3A3C">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E54211" w:rsidRDefault="007935C5" w:rsidP="007935C5">
      <w:pPr>
        <w:tabs>
          <w:tab w:val="left" w:pos="7245"/>
        </w:tabs>
        <w:ind w:left="709"/>
        <w:jc w:val="both"/>
        <w:rPr>
          <w:szCs w:val="24"/>
          <w:lang w:val="en-US"/>
        </w:rPr>
      </w:pPr>
    </w:p>
    <w:p w14:paraId="5E65C0F0" w14:textId="71664E69" w:rsidR="007935C5" w:rsidRPr="00E54211" w:rsidRDefault="00A66B79" w:rsidP="003634DA">
      <w:pPr>
        <w:tabs>
          <w:tab w:val="left" w:pos="7245"/>
        </w:tabs>
        <w:ind w:left="567"/>
        <w:jc w:val="both"/>
        <w:rPr>
          <w:szCs w:val="24"/>
        </w:rPr>
      </w:pPr>
      <w:r w:rsidRPr="00E54211">
        <w:rPr>
          <w:szCs w:val="24"/>
        </w:rPr>
        <w:t>As at Q</w:t>
      </w:r>
      <w:r w:rsidR="00E54211" w:rsidRPr="00E54211">
        <w:rPr>
          <w:szCs w:val="24"/>
        </w:rPr>
        <w:t>2</w:t>
      </w:r>
      <w:r w:rsidRPr="00E54211">
        <w:rPr>
          <w:szCs w:val="24"/>
        </w:rPr>
        <w:t xml:space="preserve"> the forecast on the revenue budget is a net overspend of £</w:t>
      </w:r>
      <w:r w:rsidR="00755704">
        <w:rPr>
          <w:szCs w:val="24"/>
        </w:rPr>
        <w:t>10.513m</w:t>
      </w:r>
      <w:r w:rsidRPr="00E54211">
        <w:rPr>
          <w:szCs w:val="24"/>
        </w:rPr>
        <w:t>.</w:t>
      </w:r>
    </w:p>
    <w:p w14:paraId="00A7ACC1" w14:textId="77777777" w:rsidR="007935C5" w:rsidRPr="00E54211" w:rsidRDefault="007935C5" w:rsidP="007935C5">
      <w:pPr>
        <w:tabs>
          <w:tab w:val="left" w:pos="7245"/>
        </w:tabs>
        <w:ind w:left="709"/>
        <w:jc w:val="both"/>
        <w:rPr>
          <w:szCs w:val="24"/>
        </w:rPr>
      </w:pPr>
    </w:p>
    <w:p w14:paraId="72674893" w14:textId="3844C499" w:rsidR="003B40B3" w:rsidRPr="00E54211" w:rsidRDefault="003B40B3" w:rsidP="003B40B3">
      <w:pPr>
        <w:pStyle w:val="ListParagraph"/>
        <w:tabs>
          <w:tab w:val="left" w:pos="567"/>
        </w:tabs>
        <w:ind w:left="567" w:right="140"/>
        <w:contextualSpacing/>
        <w:jc w:val="both"/>
        <w:rPr>
          <w:rFonts w:cs="Arial"/>
          <w:szCs w:val="24"/>
        </w:rPr>
      </w:pPr>
      <w:r w:rsidRPr="00E54211">
        <w:rPr>
          <w:rFonts w:cs="Arial"/>
          <w:bCs/>
          <w:szCs w:val="24"/>
        </w:rPr>
        <w:t xml:space="preserve">The </w:t>
      </w:r>
      <w:r w:rsidR="00D12F50" w:rsidRPr="00E54211">
        <w:rPr>
          <w:rFonts w:cs="Arial"/>
          <w:bCs/>
          <w:szCs w:val="24"/>
        </w:rPr>
        <w:t>projected s</w:t>
      </w:r>
      <w:r w:rsidRPr="00E54211">
        <w:rPr>
          <w:rFonts w:cs="Arial"/>
          <w:bCs/>
          <w:szCs w:val="24"/>
        </w:rPr>
        <w:t>pend on the Capital Programme is £</w:t>
      </w:r>
      <w:r w:rsidR="00E54211" w:rsidRPr="00E54211">
        <w:rPr>
          <w:rFonts w:cs="Arial"/>
          <w:bCs/>
          <w:szCs w:val="24"/>
        </w:rPr>
        <w:t>87.178m</w:t>
      </w:r>
      <w:r w:rsidRPr="00E54211">
        <w:rPr>
          <w:rFonts w:cs="Arial"/>
          <w:bCs/>
          <w:szCs w:val="24"/>
        </w:rPr>
        <w:t xml:space="preserve">, </w:t>
      </w:r>
      <w:r w:rsidR="00E54211" w:rsidRPr="00E54211">
        <w:rPr>
          <w:rFonts w:cs="Arial"/>
          <w:bCs/>
          <w:szCs w:val="24"/>
        </w:rPr>
        <w:t>57</w:t>
      </w:r>
      <w:r w:rsidRPr="00E54211">
        <w:rPr>
          <w:rFonts w:cs="Arial"/>
          <w:bCs/>
          <w:szCs w:val="24"/>
        </w:rPr>
        <w:t xml:space="preserve">% of the total budget. </w:t>
      </w:r>
    </w:p>
    <w:p w14:paraId="770A68F6" w14:textId="77777777" w:rsidR="0081366B" w:rsidRPr="00A66B79" w:rsidRDefault="0081366B" w:rsidP="00AF66F2">
      <w:pPr>
        <w:tabs>
          <w:tab w:val="left" w:pos="7245"/>
        </w:tabs>
        <w:jc w:val="both"/>
        <w:rPr>
          <w:color w:val="000000" w:themeColor="text1"/>
          <w:szCs w:val="24"/>
        </w:rPr>
      </w:pPr>
    </w:p>
    <w:p w14:paraId="10B45FCE" w14:textId="7FDE0066" w:rsidR="00333FAA" w:rsidRPr="00CC3A3C" w:rsidRDefault="00BC74D1" w:rsidP="00AF66F2">
      <w:pPr>
        <w:pStyle w:val="Heading4"/>
        <w:jc w:val="both"/>
        <w:rPr>
          <w:szCs w:val="24"/>
        </w:rPr>
      </w:pPr>
      <w:r w:rsidRPr="00A66B79">
        <w:rPr>
          <w:b w:val="0"/>
          <w:color w:val="000000" w:themeColor="text1"/>
          <w:szCs w:val="24"/>
        </w:rPr>
        <w:t>8</w:t>
      </w:r>
      <w:r w:rsidR="004C0103" w:rsidRPr="00A66B79">
        <w:rPr>
          <w:b w:val="0"/>
          <w:color w:val="000000" w:themeColor="text1"/>
          <w:szCs w:val="24"/>
        </w:rPr>
        <w:t>.0</w:t>
      </w:r>
      <w:r w:rsidR="0008678F" w:rsidRPr="00A66B79">
        <w:rPr>
          <w:color w:val="000000" w:themeColor="text1"/>
          <w:szCs w:val="24"/>
        </w:rPr>
        <w:t xml:space="preserve">    </w:t>
      </w:r>
      <w:r w:rsidR="00333FAA" w:rsidRPr="00A66B79">
        <w:rPr>
          <w:color w:val="000000" w:themeColor="text1"/>
          <w:szCs w:val="24"/>
        </w:rPr>
        <w:t xml:space="preserve">Environmental </w:t>
      </w:r>
      <w:r w:rsidR="00333FAA" w:rsidRPr="00CC3A3C">
        <w:rPr>
          <w:szCs w:val="24"/>
        </w:rPr>
        <w:t>Implications</w:t>
      </w:r>
    </w:p>
    <w:p w14:paraId="72CC1CBA" w14:textId="77777777" w:rsidR="000929A6" w:rsidRPr="00CC3A3C" w:rsidRDefault="000929A6" w:rsidP="00AF66F2">
      <w:pPr>
        <w:jc w:val="both"/>
        <w:rPr>
          <w:iCs/>
          <w:szCs w:val="24"/>
        </w:rPr>
      </w:pPr>
    </w:p>
    <w:p w14:paraId="1B7702EF" w14:textId="155FCDCF" w:rsidR="000929A6" w:rsidRPr="00CC3A3C" w:rsidRDefault="0008678F" w:rsidP="003634DA">
      <w:pPr>
        <w:jc w:val="both"/>
        <w:rPr>
          <w:szCs w:val="24"/>
        </w:rPr>
      </w:pPr>
      <w:r w:rsidRPr="00CC3A3C">
        <w:rPr>
          <w:szCs w:val="24"/>
        </w:rPr>
        <w:t xml:space="preserve">         </w:t>
      </w:r>
      <w:r w:rsidR="005641E0" w:rsidRPr="00CC3A3C">
        <w:rPr>
          <w:szCs w:val="24"/>
        </w:rPr>
        <w:t>There is no direct environmental impact.</w:t>
      </w:r>
    </w:p>
    <w:p w14:paraId="3FB84BF0" w14:textId="77777777" w:rsidR="00B1160D" w:rsidRPr="00CC3A3C" w:rsidRDefault="00B1160D" w:rsidP="00AF66F2">
      <w:pPr>
        <w:jc w:val="both"/>
        <w:rPr>
          <w:szCs w:val="24"/>
        </w:rPr>
      </w:pPr>
    </w:p>
    <w:p w14:paraId="45FE986E" w14:textId="02C23F98" w:rsidR="00A81E19" w:rsidRPr="00CC3A3C" w:rsidRDefault="00BC74D1" w:rsidP="00731669">
      <w:pPr>
        <w:pStyle w:val="Heading2"/>
        <w:ind w:left="567" w:hanging="567"/>
        <w:jc w:val="both"/>
        <w:rPr>
          <w:sz w:val="24"/>
          <w:szCs w:val="24"/>
        </w:rPr>
      </w:pPr>
      <w:r w:rsidRPr="00CC3A3C">
        <w:rPr>
          <w:b w:val="0"/>
          <w:sz w:val="24"/>
          <w:szCs w:val="24"/>
        </w:rPr>
        <w:lastRenderedPageBreak/>
        <w:t>9</w:t>
      </w:r>
      <w:r w:rsidR="004C0103" w:rsidRPr="00CC3A3C">
        <w:rPr>
          <w:b w:val="0"/>
          <w:sz w:val="24"/>
          <w:szCs w:val="24"/>
        </w:rPr>
        <w:t>.0</w:t>
      </w:r>
      <w:r w:rsidR="004C0103" w:rsidRPr="00CC3A3C">
        <w:rPr>
          <w:sz w:val="24"/>
          <w:szCs w:val="24"/>
        </w:rPr>
        <w:tab/>
      </w:r>
      <w:r w:rsidR="00A81E19" w:rsidRPr="00CC3A3C">
        <w:rPr>
          <w:sz w:val="24"/>
          <w:szCs w:val="24"/>
        </w:rPr>
        <w:t>Risk Management Implications</w:t>
      </w:r>
    </w:p>
    <w:p w14:paraId="532AA002" w14:textId="77777777" w:rsidR="00A81E19" w:rsidRPr="00CC3A3C" w:rsidRDefault="00A81E19" w:rsidP="00AF66F2">
      <w:pPr>
        <w:pStyle w:val="Heading4"/>
        <w:jc w:val="both"/>
        <w:rPr>
          <w:b w:val="0"/>
          <w:szCs w:val="24"/>
        </w:rPr>
      </w:pPr>
    </w:p>
    <w:p w14:paraId="6FF7070B" w14:textId="77777777" w:rsidR="009C523F" w:rsidRPr="00CC3A3C" w:rsidRDefault="009C523F" w:rsidP="009C523F">
      <w:pPr>
        <w:tabs>
          <w:tab w:val="left" w:pos="5610"/>
        </w:tabs>
        <w:ind w:left="567" w:right="81"/>
      </w:pPr>
      <w:r w:rsidRPr="00CC3A3C">
        <w:rPr>
          <w:rFonts w:cs="Arial"/>
          <w:szCs w:val="24"/>
          <w:lang w:val="en-US"/>
        </w:rPr>
        <w:t xml:space="preserve">Risks included on corporate or directorate risk register? </w:t>
      </w:r>
      <w:r w:rsidRPr="00CC3A3C">
        <w:rPr>
          <w:rFonts w:cs="Arial"/>
          <w:b/>
          <w:bCs/>
          <w:szCs w:val="24"/>
          <w:lang w:val="en-US"/>
        </w:rPr>
        <w:t>Yes</w:t>
      </w:r>
    </w:p>
    <w:p w14:paraId="72D63551"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  </w:t>
      </w:r>
    </w:p>
    <w:p w14:paraId="1EC85C3D"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Separate risk register in place? </w:t>
      </w:r>
      <w:r w:rsidRPr="00CC3A3C">
        <w:rPr>
          <w:rFonts w:cs="Arial"/>
          <w:b/>
          <w:bCs/>
          <w:szCs w:val="24"/>
          <w:lang w:val="en-US" w:eastAsia="en-GB"/>
        </w:rPr>
        <w:t>No</w:t>
      </w:r>
    </w:p>
    <w:p w14:paraId="078754B9" w14:textId="77777777" w:rsidR="009C523F" w:rsidRPr="00CC3A3C" w:rsidRDefault="009C523F" w:rsidP="009C523F">
      <w:pPr>
        <w:tabs>
          <w:tab w:val="left" w:pos="5610"/>
        </w:tabs>
        <w:ind w:left="567" w:right="81"/>
      </w:pPr>
    </w:p>
    <w:p w14:paraId="6DC9F866" w14:textId="77777777" w:rsidR="009C523F" w:rsidRPr="00CC3A3C" w:rsidRDefault="009C523F" w:rsidP="009C523F">
      <w:pPr>
        <w:tabs>
          <w:tab w:val="left" w:pos="5610"/>
        </w:tabs>
        <w:ind w:left="567" w:right="81"/>
      </w:pPr>
      <w:r w:rsidRPr="00CC3A3C">
        <w:t xml:space="preserve">The relevant risks contained in the register are attached/summarised below. </w:t>
      </w:r>
      <w:r w:rsidRPr="00CC3A3C">
        <w:rPr>
          <w:rFonts w:cs="Arial"/>
          <w:b/>
          <w:bCs/>
          <w:szCs w:val="24"/>
          <w:lang w:val="en-US" w:eastAsia="en-GB"/>
        </w:rPr>
        <w:t>Yes</w:t>
      </w:r>
    </w:p>
    <w:p w14:paraId="2A54CBCB" w14:textId="77777777" w:rsidR="009C523F" w:rsidRPr="00CC3A3C" w:rsidRDefault="009C523F" w:rsidP="009C523F">
      <w:pPr>
        <w:ind w:left="-567"/>
      </w:pPr>
    </w:p>
    <w:p w14:paraId="121AF0C5" w14:textId="0A711B55" w:rsidR="009C523F" w:rsidRDefault="009C523F" w:rsidP="009C523F">
      <w:pPr>
        <w:ind w:left="567"/>
        <w:jc w:val="both"/>
      </w:pPr>
      <w:r w:rsidRPr="00CC3A3C">
        <w:t xml:space="preserve">The following key risks should be taken onto account when </w:t>
      </w:r>
      <w:r w:rsidR="001619BF">
        <w:t xml:space="preserve">noting </w:t>
      </w:r>
      <w:r w:rsidRPr="00CC3A3C">
        <w:t>the report:</w:t>
      </w:r>
    </w:p>
    <w:p w14:paraId="2E93725F" w14:textId="77777777" w:rsidR="009C523F" w:rsidRPr="00B37833"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B37833" w:rsidRPr="00B37833"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CC3A3C" w:rsidRDefault="009C523F" w:rsidP="009C523F">
            <w:pPr>
              <w:ind w:left="34" w:right="141"/>
              <w:rPr>
                <w:rFonts w:cs="Arial"/>
                <w:b/>
                <w:bCs/>
                <w:sz w:val="20"/>
                <w:lang w:val="en-US" w:eastAsia="en-GB"/>
              </w:rPr>
            </w:pPr>
            <w:r w:rsidRPr="00CC3A3C">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CC3A3C" w:rsidRDefault="009C523F" w:rsidP="009C523F">
            <w:pPr>
              <w:ind w:right="141" w:hanging="2"/>
              <w:rPr>
                <w:rFonts w:cs="Arial"/>
                <w:b/>
                <w:bCs/>
                <w:sz w:val="20"/>
                <w:lang w:val="en-US" w:eastAsia="en-GB"/>
              </w:rPr>
            </w:pPr>
            <w:r w:rsidRPr="00CC3A3C">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CC3A3C" w:rsidRDefault="009C523F" w:rsidP="009C523F">
            <w:pPr>
              <w:ind w:left="567" w:right="141"/>
              <w:jc w:val="center"/>
              <w:rPr>
                <w:rFonts w:cs="Arial"/>
                <w:b/>
                <w:bCs/>
                <w:sz w:val="20"/>
                <w:lang w:val="en-US" w:eastAsia="en-GB"/>
              </w:rPr>
            </w:pPr>
            <w:r w:rsidRPr="00CC3A3C">
              <w:rPr>
                <w:rFonts w:cs="Arial"/>
                <w:b/>
                <w:bCs/>
                <w:sz w:val="20"/>
                <w:lang w:val="en-US" w:eastAsia="en-GB"/>
              </w:rPr>
              <w:t xml:space="preserve">RAG Status </w:t>
            </w:r>
          </w:p>
        </w:tc>
      </w:tr>
      <w:tr w:rsidR="00A66B79" w:rsidRPr="00CC3A3C" w14:paraId="42081C92" w14:textId="77777777" w:rsidTr="00755704">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1434" w14:textId="77777777" w:rsidR="005B587A" w:rsidRDefault="00A66B79" w:rsidP="00A66B79">
            <w:pPr>
              <w:ind w:left="34" w:right="141"/>
              <w:rPr>
                <w:rFonts w:cs="Arial"/>
                <w:color w:val="000000" w:themeColor="text1"/>
                <w:sz w:val="20"/>
                <w:lang w:val="en-US" w:eastAsia="en-GB"/>
              </w:rPr>
            </w:pPr>
            <w:r w:rsidRPr="00BA7B29">
              <w:rPr>
                <w:rFonts w:cs="Arial"/>
                <w:color w:val="000000" w:themeColor="text1"/>
                <w:sz w:val="20"/>
                <w:lang w:val="en-US" w:eastAsia="en-GB"/>
              </w:rPr>
              <w:t xml:space="preserve">Failure to deliver the </w:t>
            </w:r>
            <w:r w:rsidR="005B587A">
              <w:rPr>
                <w:rFonts w:cs="Arial"/>
                <w:color w:val="000000" w:themeColor="text1"/>
                <w:sz w:val="20"/>
                <w:lang w:val="en-US" w:eastAsia="en-GB"/>
              </w:rPr>
              <w:t>revenue</w:t>
            </w:r>
          </w:p>
          <w:p w14:paraId="2F85FD9C" w14:textId="71D1F731" w:rsidR="00A66B79" w:rsidRPr="00BA7B29" w:rsidRDefault="00A66B79" w:rsidP="00A66B79">
            <w:pPr>
              <w:ind w:left="34" w:right="141"/>
              <w:rPr>
                <w:rFonts w:cs="Arial"/>
                <w:color w:val="000000" w:themeColor="text1"/>
                <w:sz w:val="20"/>
                <w:lang w:val="en-US" w:eastAsia="en-GB"/>
              </w:rPr>
            </w:pPr>
            <w:r w:rsidRPr="00BA7B29">
              <w:rPr>
                <w:rFonts w:cs="Arial"/>
                <w:color w:val="000000" w:themeColor="text1"/>
                <w:sz w:val="20"/>
                <w:lang w:val="en-US" w:eastAsia="en-GB"/>
              </w:rPr>
              <w:t>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043F8" w14:textId="6969083A" w:rsidR="00A66B79" w:rsidRPr="00755704" w:rsidRDefault="00A66B79" w:rsidP="00755704">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sidRPr="00BA7B29">
              <w:rPr>
                <w:rFonts w:cs="Arial"/>
                <w:color w:val="000000" w:themeColor="text1"/>
                <w:sz w:val="20"/>
                <w:lang w:val="en-US" w:eastAsia="en-GB"/>
              </w:rPr>
              <w:t>At Q</w:t>
            </w:r>
            <w:r w:rsidR="002E0F2C">
              <w:rPr>
                <w:rFonts w:cs="Arial"/>
                <w:color w:val="000000" w:themeColor="text1"/>
                <w:sz w:val="20"/>
                <w:lang w:val="en-US" w:eastAsia="en-GB"/>
              </w:rPr>
              <w:t>2</w:t>
            </w:r>
            <w:r w:rsidRPr="00BA7B29">
              <w:rPr>
                <w:rFonts w:cs="Arial"/>
                <w:color w:val="000000" w:themeColor="text1"/>
                <w:sz w:val="20"/>
                <w:lang w:val="en-US" w:eastAsia="en-GB"/>
              </w:rPr>
              <w:t xml:space="preserve"> there is a </w:t>
            </w:r>
            <w:r w:rsidR="00A95191" w:rsidRPr="00BA7B29">
              <w:rPr>
                <w:rFonts w:cs="Arial"/>
                <w:color w:val="000000" w:themeColor="text1"/>
                <w:sz w:val="20"/>
                <w:lang w:val="en-US" w:eastAsia="en-GB"/>
              </w:rPr>
              <w:t xml:space="preserve">projected net revenue </w:t>
            </w:r>
            <w:r w:rsidRPr="00BA7B29">
              <w:rPr>
                <w:rFonts w:cs="Arial"/>
                <w:color w:val="000000" w:themeColor="text1"/>
                <w:sz w:val="20"/>
                <w:lang w:val="en-US" w:eastAsia="en-GB"/>
              </w:rPr>
              <w:t>overspend of £</w:t>
            </w:r>
            <w:r w:rsidR="004F22E9">
              <w:rPr>
                <w:rFonts w:cs="Arial"/>
                <w:color w:val="000000" w:themeColor="text1"/>
                <w:sz w:val="20"/>
                <w:lang w:val="en-US" w:eastAsia="en-GB"/>
              </w:rPr>
              <w:t>11.</w:t>
            </w:r>
            <w:r w:rsidR="00755704">
              <w:rPr>
                <w:rFonts w:cs="Arial"/>
                <w:color w:val="000000" w:themeColor="text1"/>
                <w:sz w:val="20"/>
                <w:lang w:val="en-US" w:eastAsia="en-GB"/>
              </w:rPr>
              <w:t>513</w:t>
            </w:r>
            <w:r w:rsidR="004F22E9">
              <w:rPr>
                <w:rFonts w:cs="Arial"/>
                <w:color w:val="000000" w:themeColor="text1"/>
                <w:sz w:val="20"/>
                <w:lang w:val="en-US" w:eastAsia="en-GB"/>
              </w:rPr>
              <w:t>m</w:t>
            </w:r>
          </w:p>
          <w:p w14:paraId="52DD188F" w14:textId="7EF08908" w:rsidR="004F22E9" w:rsidRPr="00BA7B29" w:rsidRDefault="004F22E9" w:rsidP="00A66B79">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Pr>
                <w:rFonts w:cs="Arial"/>
                <w:color w:val="000000" w:themeColor="text1"/>
                <w:sz w:val="20"/>
                <w:lang w:val="en-US" w:eastAsia="en-GB"/>
              </w:rPr>
              <w:t xml:space="preserve">A new financial strategy is being implemented to ensure the Council remains within its budget envelope. The expectation is that the part year effect of this strategy will </w:t>
            </w:r>
            <w:r w:rsidR="00E96A83">
              <w:rPr>
                <w:rFonts w:cs="Arial"/>
                <w:color w:val="000000" w:themeColor="text1"/>
                <w:sz w:val="20"/>
                <w:lang w:val="en-US" w:eastAsia="en-GB"/>
              </w:rPr>
              <w:t>reduce</w:t>
            </w:r>
            <w:r>
              <w:rPr>
                <w:rFonts w:cs="Arial"/>
                <w:color w:val="000000" w:themeColor="text1"/>
                <w:sz w:val="20"/>
                <w:lang w:val="en-US" w:eastAsia="en-GB"/>
              </w:rPr>
              <w:t xml:space="preserve"> the forecast overspend of £11.</w:t>
            </w:r>
            <w:r w:rsidR="00755704">
              <w:rPr>
                <w:rFonts w:cs="Arial"/>
                <w:color w:val="000000" w:themeColor="text1"/>
                <w:sz w:val="20"/>
                <w:lang w:val="en-US" w:eastAsia="en-GB"/>
              </w:rPr>
              <w:t>513</w:t>
            </w:r>
            <w:r>
              <w:rPr>
                <w:rFonts w:cs="Arial"/>
                <w:color w:val="000000" w:themeColor="text1"/>
                <w:sz w:val="20"/>
                <w:lang w:val="en-US" w:eastAsia="en-GB"/>
              </w:rPr>
              <w:t>m which any residual overs</w:t>
            </w:r>
            <w:r w:rsidR="00755704">
              <w:rPr>
                <w:rFonts w:cs="Arial"/>
                <w:color w:val="000000" w:themeColor="text1"/>
                <w:sz w:val="20"/>
                <w:lang w:val="en-US" w:eastAsia="en-GB"/>
              </w:rPr>
              <w:t>p</w:t>
            </w:r>
            <w:r>
              <w:rPr>
                <w:rFonts w:cs="Arial"/>
                <w:color w:val="000000" w:themeColor="text1"/>
                <w:sz w:val="20"/>
                <w:lang w:val="en-US" w:eastAsia="en-GB"/>
              </w:rPr>
              <w:t>end being drawn down from the MTFS Budget Planning Reserve</w:t>
            </w:r>
          </w:p>
        </w:tc>
        <w:tc>
          <w:tcPr>
            <w:tcW w:w="146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070410E0" w14:textId="3D612EA9" w:rsidR="00A66B79" w:rsidRPr="00CC3A3C" w:rsidRDefault="004F22E9" w:rsidP="00A66B79">
            <w:pPr>
              <w:ind w:left="567" w:right="141"/>
              <w:rPr>
                <w:rFonts w:cs="Arial"/>
                <w:sz w:val="20"/>
                <w:lang w:val="en-US" w:eastAsia="en-GB"/>
              </w:rPr>
            </w:pPr>
            <w:r>
              <w:rPr>
                <w:rFonts w:cs="Arial"/>
                <w:sz w:val="20"/>
                <w:lang w:val="en-US" w:eastAsia="en-GB"/>
              </w:rPr>
              <w:t>Red</w:t>
            </w:r>
          </w:p>
        </w:tc>
      </w:tr>
      <w:tr w:rsidR="005B587A" w:rsidRPr="00CC3A3C" w14:paraId="78DF1768" w14:textId="77777777" w:rsidTr="00755704">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BFA4" w14:textId="2EF999FB" w:rsidR="005B587A" w:rsidRPr="00E54211" w:rsidDel="005B587A" w:rsidRDefault="005B587A" w:rsidP="002E0F2C">
            <w:pPr>
              <w:ind w:left="34" w:right="141"/>
              <w:rPr>
                <w:rFonts w:cs="Arial"/>
                <w:sz w:val="20"/>
                <w:lang w:val="en-US" w:eastAsia="en-GB"/>
              </w:rPr>
            </w:pPr>
            <w:r>
              <w:rPr>
                <w:rFonts w:cs="Arial"/>
                <w:sz w:val="20"/>
                <w:lang w:val="en-US" w:eastAsia="en-GB"/>
              </w:rPr>
              <w:t>The forecast overspend will continue into the following year and have an adverse impact on financial performance in 2023/24</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C592" w14:textId="77777777" w:rsidR="005B587A" w:rsidRDefault="005B587A" w:rsidP="002E0F2C">
            <w:pPr>
              <w:pStyle w:val="ListParagraph"/>
              <w:numPr>
                <w:ilvl w:val="0"/>
                <w:numId w:val="14"/>
              </w:numPr>
              <w:suppressAutoHyphens/>
              <w:autoSpaceDN w:val="0"/>
              <w:ind w:left="0" w:right="141" w:firstLine="423"/>
              <w:textAlignment w:val="baseline"/>
              <w:rPr>
                <w:rFonts w:cs="Arial"/>
                <w:sz w:val="20"/>
                <w:lang w:val="en-US" w:eastAsia="en-GB"/>
              </w:rPr>
            </w:pPr>
            <w:r>
              <w:rPr>
                <w:rFonts w:cs="Arial"/>
                <w:sz w:val="20"/>
                <w:lang w:val="en-US" w:eastAsia="en-GB"/>
              </w:rPr>
              <w:t xml:space="preserve">The draft 2023/24 budget is subject to a separate report on this agenda. The expenditure pressure areas from 2022/23 are reflected in the budget setting process for 2023/24. </w:t>
            </w:r>
          </w:p>
          <w:p w14:paraId="4AFFDD14" w14:textId="12C42057" w:rsidR="005B587A" w:rsidRPr="00E54211" w:rsidDel="005B587A" w:rsidRDefault="005B587A" w:rsidP="002E0F2C">
            <w:pPr>
              <w:pStyle w:val="ListParagraph"/>
              <w:numPr>
                <w:ilvl w:val="0"/>
                <w:numId w:val="14"/>
              </w:numPr>
              <w:suppressAutoHyphens/>
              <w:autoSpaceDN w:val="0"/>
              <w:ind w:left="0" w:right="141" w:firstLine="423"/>
              <w:textAlignment w:val="baseline"/>
              <w:rPr>
                <w:rFonts w:cs="Arial"/>
                <w:sz w:val="20"/>
                <w:lang w:val="en-US" w:eastAsia="en-GB"/>
              </w:rPr>
            </w:pPr>
            <w:r>
              <w:rPr>
                <w:rFonts w:cs="Arial"/>
                <w:sz w:val="20"/>
                <w:lang w:val="en-US" w:eastAsia="en-GB"/>
              </w:rPr>
              <w:t xml:space="preserve">This risk remains amber due to the draft 2023/24 budget being set before the announcement of the Indicative Finance </w:t>
            </w:r>
            <w:r w:rsidR="00E96A83">
              <w:rPr>
                <w:rFonts w:cs="Arial"/>
                <w:sz w:val="20"/>
                <w:lang w:val="en-US" w:eastAsia="en-GB"/>
              </w:rPr>
              <w:t>Settlement</w:t>
            </w:r>
            <w:r>
              <w:rPr>
                <w:rFonts w:cs="Arial"/>
                <w:sz w:val="20"/>
                <w:lang w:val="en-US" w:eastAsia="en-GB"/>
              </w:rPr>
              <w:t xml:space="preserve"> which is due w/c 19 Dec. </w:t>
            </w:r>
          </w:p>
        </w:tc>
        <w:tc>
          <w:tcPr>
            <w:tcW w:w="14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4D134B0" w14:textId="19411BEB" w:rsidR="005B587A" w:rsidRPr="00CC3A3C" w:rsidDel="005B587A" w:rsidRDefault="005B587A" w:rsidP="002E0F2C">
            <w:pPr>
              <w:ind w:left="567" w:right="141"/>
              <w:rPr>
                <w:rFonts w:cs="Arial"/>
                <w:sz w:val="20"/>
                <w:lang w:val="en-US" w:eastAsia="en-GB"/>
              </w:rPr>
            </w:pPr>
            <w:r>
              <w:rPr>
                <w:rFonts w:cs="Arial"/>
                <w:sz w:val="20"/>
                <w:lang w:val="en-US" w:eastAsia="en-GB"/>
              </w:rPr>
              <w:t>Amber</w:t>
            </w:r>
          </w:p>
        </w:tc>
      </w:tr>
      <w:tr w:rsidR="005B587A" w:rsidRPr="00CC3A3C" w14:paraId="710544DD" w14:textId="77777777" w:rsidTr="002E0F2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1868" w14:textId="2E34335F" w:rsidR="005B587A" w:rsidRPr="00E54211" w:rsidDel="005B587A" w:rsidRDefault="005B587A" w:rsidP="002E0F2C">
            <w:pPr>
              <w:ind w:left="34" w:right="141"/>
              <w:rPr>
                <w:rFonts w:cs="Arial"/>
                <w:sz w:val="20"/>
                <w:lang w:val="en-US" w:eastAsia="en-GB"/>
              </w:rPr>
            </w:pPr>
            <w:bookmarkStart w:id="7" w:name="_Hlk120521955"/>
            <w:r>
              <w:rPr>
                <w:rFonts w:cs="Arial"/>
                <w:sz w:val="20"/>
                <w:lang w:val="en-US" w:eastAsia="en-GB"/>
              </w:rPr>
              <w:t xml:space="preserve">Projects within the Capital Programme exceed their </w:t>
            </w:r>
            <w:r w:rsidR="00E96A83">
              <w:rPr>
                <w:rFonts w:cs="Arial"/>
                <w:sz w:val="20"/>
                <w:lang w:val="en-US" w:eastAsia="en-GB"/>
              </w:rPr>
              <w:t>budget, potentially</w:t>
            </w:r>
            <w:r>
              <w:rPr>
                <w:rFonts w:cs="Arial"/>
                <w:sz w:val="20"/>
                <w:lang w:val="en-US" w:eastAsia="en-GB"/>
              </w:rPr>
              <w:t xml:space="preserve"> resulting in additional capital financing costs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43F2" w14:textId="5282C949" w:rsidR="00E96A83" w:rsidRPr="00E96A83" w:rsidRDefault="00E96A83" w:rsidP="00E96A83">
            <w:pPr>
              <w:rPr>
                <w:rFonts w:ascii="Calibri" w:hAnsi="Calibri"/>
                <w:sz w:val="20"/>
              </w:rPr>
            </w:pPr>
            <w:r w:rsidRPr="00E96A83">
              <w:rPr>
                <w:sz w:val="20"/>
              </w:rPr>
              <w:t xml:space="preserve">If projects exceed their costs, Directorates would be asked to find compensatory savings elsewhere in the programme to cover the overspend.  In the worst-case scenario, a council wide capital budget is held and a virement would be carried out to offset the overspend. </w:t>
            </w:r>
          </w:p>
          <w:p w14:paraId="150DFF16" w14:textId="2E3E5926" w:rsidR="005B587A" w:rsidRPr="00E96A83" w:rsidDel="005B587A" w:rsidRDefault="005B587A" w:rsidP="00E96A83">
            <w:pPr>
              <w:rPr>
                <w:rFonts w:cs="Arial"/>
                <w:sz w:val="22"/>
                <w:szCs w:val="22"/>
                <w:lang w:val="en-US" w:eastAsia="en-GB"/>
              </w:rPr>
            </w:pP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4FFB666" w14:textId="5FBDD41D" w:rsidR="005B587A" w:rsidRPr="00CC3A3C" w:rsidDel="005B587A" w:rsidRDefault="00E96A83" w:rsidP="002E0F2C">
            <w:pPr>
              <w:ind w:left="567" w:right="141"/>
              <w:rPr>
                <w:rFonts w:cs="Arial"/>
                <w:sz w:val="20"/>
                <w:lang w:val="en-US" w:eastAsia="en-GB"/>
              </w:rPr>
            </w:pPr>
            <w:r>
              <w:rPr>
                <w:rFonts w:cs="Arial"/>
                <w:sz w:val="20"/>
                <w:lang w:val="en-US" w:eastAsia="en-GB"/>
              </w:rPr>
              <w:t>Green</w:t>
            </w:r>
          </w:p>
        </w:tc>
      </w:tr>
      <w:bookmarkEnd w:id="7"/>
      <w:tr w:rsidR="002E0F2C" w:rsidRPr="00CC3A3C" w14:paraId="4D78FAF2" w14:textId="77777777" w:rsidTr="002E0F2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5D79" w14:textId="73B2AE7D" w:rsidR="002E0F2C" w:rsidRPr="00E54211" w:rsidRDefault="002E0F2C" w:rsidP="002E0F2C">
            <w:pPr>
              <w:ind w:left="34" w:right="141"/>
              <w:rPr>
                <w:rFonts w:cs="Arial"/>
                <w:sz w:val="20"/>
                <w:lang w:val="en-US" w:eastAsia="en-GB"/>
              </w:rPr>
            </w:pPr>
            <w:r w:rsidRPr="00E54211">
              <w:rPr>
                <w:rFonts w:cs="Arial"/>
                <w:sz w:val="20"/>
                <w:lang w:val="en-US" w:eastAsia="en-GB"/>
              </w:rPr>
              <w:t>Additions to the capital programme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D80E" w14:textId="355E0A02" w:rsidR="002E0F2C" w:rsidRPr="00E54211" w:rsidRDefault="002E0F2C" w:rsidP="002E0F2C">
            <w:pPr>
              <w:pStyle w:val="ListParagraph"/>
              <w:numPr>
                <w:ilvl w:val="0"/>
                <w:numId w:val="14"/>
              </w:numPr>
              <w:suppressAutoHyphens/>
              <w:autoSpaceDN w:val="0"/>
              <w:ind w:left="0" w:right="141" w:firstLine="423"/>
              <w:textAlignment w:val="baseline"/>
              <w:rPr>
                <w:rFonts w:cs="Arial"/>
                <w:sz w:val="20"/>
                <w:lang w:val="en-US" w:eastAsia="en-GB"/>
              </w:rPr>
            </w:pPr>
            <w:r w:rsidRPr="00E54211">
              <w:rPr>
                <w:rFonts w:cs="Arial"/>
                <w:sz w:val="20"/>
                <w:lang w:val="en-US" w:eastAsia="en-GB"/>
              </w:rPr>
              <w:t>Funded by additional grants and contributions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C04568B" w14:textId="38EB490B" w:rsidR="002E0F2C" w:rsidRDefault="002E0F2C" w:rsidP="002E0F2C">
            <w:pPr>
              <w:ind w:left="567" w:right="141"/>
              <w:rPr>
                <w:rFonts w:cs="Arial"/>
                <w:sz w:val="20"/>
                <w:lang w:val="en-US" w:eastAsia="en-GB"/>
              </w:rPr>
            </w:pPr>
            <w:r w:rsidRPr="00CC3A3C">
              <w:rPr>
                <w:rFonts w:cs="Arial"/>
                <w:sz w:val="20"/>
                <w:lang w:val="en-US" w:eastAsia="en-GB"/>
              </w:rPr>
              <w:t>Green</w:t>
            </w:r>
          </w:p>
        </w:tc>
      </w:tr>
    </w:tbl>
    <w:p w14:paraId="0AE9056F" w14:textId="13C00067" w:rsidR="009C523F" w:rsidRDefault="009C523F" w:rsidP="00731669">
      <w:pPr>
        <w:ind w:left="567"/>
        <w:jc w:val="both"/>
        <w:rPr>
          <w:szCs w:val="24"/>
          <w:lang w:val="en-US"/>
        </w:rPr>
      </w:pPr>
    </w:p>
    <w:p w14:paraId="3A64D6CD" w14:textId="710E6B54" w:rsidR="002A3FEF" w:rsidRPr="00CC3A3C" w:rsidRDefault="00BC74D1" w:rsidP="00731669">
      <w:pPr>
        <w:pStyle w:val="Heading2"/>
        <w:tabs>
          <w:tab w:val="left" w:pos="567"/>
        </w:tabs>
        <w:jc w:val="both"/>
        <w:rPr>
          <w:sz w:val="24"/>
          <w:szCs w:val="24"/>
        </w:rPr>
      </w:pPr>
      <w:r w:rsidRPr="00CC3A3C">
        <w:rPr>
          <w:b w:val="0"/>
          <w:sz w:val="24"/>
          <w:szCs w:val="24"/>
        </w:rPr>
        <w:t>10</w:t>
      </w:r>
      <w:r w:rsidR="004C0103" w:rsidRPr="00CC3A3C">
        <w:rPr>
          <w:b w:val="0"/>
          <w:sz w:val="24"/>
          <w:szCs w:val="24"/>
        </w:rPr>
        <w:t>.0</w:t>
      </w:r>
      <w:r w:rsidR="004C0103" w:rsidRPr="00CC3A3C">
        <w:rPr>
          <w:sz w:val="24"/>
          <w:szCs w:val="24"/>
        </w:rPr>
        <w:tab/>
      </w:r>
      <w:r w:rsidR="002A3FEF" w:rsidRPr="00CC3A3C">
        <w:rPr>
          <w:sz w:val="24"/>
          <w:szCs w:val="24"/>
        </w:rPr>
        <w:t xml:space="preserve">Procurement Implications </w:t>
      </w:r>
    </w:p>
    <w:p w14:paraId="49913689" w14:textId="77777777" w:rsidR="005641E0" w:rsidRPr="00CC3A3C" w:rsidRDefault="005641E0" w:rsidP="00731669">
      <w:pPr>
        <w:tabs>
          <w:tab w:val="left" w:pos="567"/>
        </w:tabs>
        <w:jc w:val="both"/>
        <w:rPr>
          <w:szCs w:val="24"/>
        </w:rPr>
      </w:pPr>
    </w:p>
    <w:p w14:paraId="62E60B38" w14:textId="513058E2" w:rsidR="002A3FEF" w:rsidRDefault="00CC3A3C" w:rsidP="00731669">
      <w:pPr>
        <w:tabs>
          <w:tab w:val="left" w:pos="567"/>
        </w:tabs>
        <w:ind w:left="567"/>
        <w:jc w:val="both"/>
        <w:rPr>
          <w:szCs w:val="24"/>
        </w:rPr>
      </w:pPr>
      <w:r w:rsidRPr="00CC3A3C">
        <w:rPr>
          <w:szCs w:val="24"/>
        </w:rPr>
        <w:t>Any procurement arising from this report will be supported by the Procurement Team and will be undertaken compliant with the Public Contract Regulations 2015 and the Council’s Contract Procedure Rules.</w:t>
      </w:r>
    </w:p>
    <w:p w14:paraId="30D240FA" w14:textId="05AEF26F" w:rsidR="00367FA9" w:rsidRDefault="00367FA9" w:rsidP="00367FA9">
      <w:pPr>
        <w:tabs>
          <w:tab w:val="left" w:pos="567"/>
        </w:tabs>
        <w:jc w:val="both"/>
        <w:rPr>
          <w:szCs w:val="24"/>
        </w:rPr>
      </w:pPr>
    </w:p>
    <w:p w14:paraId="239736E3" w14:textId="4B6AB017" w:rsidR="00367FA9" w:rsidRDefault="00367FA9" w:rsidP="00755704">
      <w:pPr>
        <w:tabs>
          <w:tab w:val="left" w:pos="567"/>
        </w:tabs>
        <w:jc w:val="both"/>
        <w:rPr>
          <w:szCs w:val="24"/>
        </w:rPr>
      </w:pPr>
      <w:r>
        <w:rPr>
          <w:szCs w:val="24"/>
        </w:rPr>
        <w:lastRenderedPageBreak/>
        <w:t>10.1 The contract with Sancr</w:t>
      </w:r>
      <w:r w:rsidR="00BB2D4B">
        <w:rPr>
          <w:szCs w:val="24"/>
        </w:rPr>
        <w:t xml:space="preserve">oft Commumity Care Limited </w:t>
      </w:r>
      <w:r w:rsidR="00345287">
        <w:rPr>
          <w:szCs w:val="24"/>
        </w:rPr>
        <w:t xml:space="preserve">under clause 3.1 </w:t>
      </w:r>
      <w:r w:rsidR="00977C9C">
        <w:rPr>
          <w:szCs w:val="24"/>
        </w:rPr>
        <w:t xml:space="preserve">permits the Council to extend the contract beyond its initial </w:t>
      </w:r>
      <w:r w:rsidR="00E96A83">
        <w:rPr>
          <w:szCs w:val="24"/>
        </w:rPr>
        <w:t>5-year</w:t>
      </w:r>
      <w:r w:rsidR="00977C9C">
        <w:rPr>
          <w:szCs w:val="24"/>
        </w:rPr>
        <w:t xml:space="preserve"> term by a further period or periods of up to 5 years.</w:t>
      </w:r>
      <w:r w:rsidR="00582A5C">
        <w:rPr>
          <w:szCs w:val="24"/>
        </w:rPr>
        <w:t xml:space="preserve"> </w:t>
      </w:r>
    </w:p>
    <w:p w14:paraId="2E49614D" w14:textId="77777777" w:rsidR="002A3FEF" w:rsidRPr="00CC3A3C" w:rsidRDefault="002A3FEF" w:rsidP="00AF66F2">
      <w:pPr>
        <w:pStyle w:val="Heading2"/>
        <w:jc w:val="both"/>
        <w:rPr>
          <w:sz w:val="24"/>
          <w:szCs w:val="24"/>
        </w:rPr>
      </w:pPr>
    </w:p>
    <w:p w14:paraId="50268769" w14:textId="7D25E6A8" w:rsidR="00333FAA" w:rsidRPr="00CC3A3C" w:rsidRDefault="000058C5" w:rsidP="00731669">
      <w:pPr>
        <w:pStyle w:val="Heading2"/>
        <w:ind w:left="567" w:hanging="567"/>
        <w:jc w:val="both"/>
        <w:rPr>
          <w:sz w:val="24"/>
          <w:szCs w:val="24"/>
        </w:rPr>
      </w:pPr>
      <w:r w:rsidRPr="00CC3A3C">
        <w:rPr>
          <w:b w:val="0"/>
          <w:sz w:val="24"/>
          <w:szCs w:val="24"/>
        </w:rPr>
        <w:t>1</w:t>
      </w:r>
      <w:r w:rsidR="00BC74D1" w:rsidRPr="00CC3A3C">
        <w:rPr>
          <w:b w:val="0"/>
          <w:sz w:val="24"/>
          <w:szCs w:val="24"/>
        </w:rPr>
        <w:t>1</w:t>
      </w:r>
      <w:r w:rsidR="00E269CF" w:rsidRPr="00CC3A3C">
        <w:rPr>
          <w:b w:val="0"/>
          <w:sz w:val="24"/>
          <w:szCs w:val="24"/>
        </w:rPr>
        <w:t>.0</w:t>
      </w:r>
      <w:r w:rsidR="00E269CF" w:rsidRPr="00CC3A3C">
        <w:rPr>
          <w:sz w:val="24"/>
          <w:szCs w:val="24"/>
        </w:rPr>
        <w:tab/>
      </w:r>
      <w:r w:rsidR="00333FAA" w:rsidRPr="00CC3A3C">
        <w:rPr>
          <w:sz w:val="24"/>
          <w:szCs w:val="24"/>
        </w:rPr>
        <w:t>Legal Implications</w:t>
      </w:r>
    </w:p>
    <w:p w14:paraId="7125A913" w14:textId="77777777" w:rsidR="005641E0" w:rsidRPr="00CC3A3C" w:rsidRDefault="005641E0" w:rsidP="00AF66F2">
      <w:pPr>
        <w:jc w:val="both"/>
        <w:rPr>
          <w:szCs w:val="24"/>
        </w:rPr>
      </w:pPr>
    </w:p>
    <w:p w14:paraId="4CD42740" w14:textId="7B3E343E" w:rsidR="005641E0" w:rsidRDefault="005641E0" w:rsidP="00731669">
      <w:pPr>
        <w:ind w:left="567"/>
        <w:jc w:val="both"/>
        <w:rPr>
          <w:szCs w:val="24"/>
        </w:rPr>
      </w:pPr>
      <w:r w:rsidRPr="00CC3A3C">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1C6737DF" w14:textId="3ED7178A" w:rsidR="00EF4214" w:rsidRDefault="00EF4214" w:rsidP="00731669">
      <w:pPr>
        <w:ind w:left="567"/>
        <w:jc w:val="both"/>
        <w:rPr>
          <w:szCs w:val="24"/>
        </w:rPr>
      </w:pPr>
    </w:p>
    <w:p w14:paraId="5CAEE571" w14:textId="3FF360A3" w:rsidR="00EF4214" w:rsidRDefault="00EF4214" w:rsidP="00731669">
      <w:pPr>
        <w:ind w:left="567"/>
        <w:jc w:val="both"/>
        <w:rPr>
          <w:szCs w:val="24"/>
        </w:rPr>
      </w:pPr>
      <w:r>
        <w:rPr>
          <w:szCs w:val="24"/>
        </w:rPr>
        <w:t>Under the Financial Regulations B48 Additions in year to the Capital Programme</w:t>
      </w:r>
    </w:p>
    <w:p w14:paraId="76CF2627" w14:textId="03F79750" w:rsidR="00EF4214" w:rsidRDefault="00EF4214" w:rsidP="00731669">
      <w:pPr>
        <w:ind w:left="567"/>
        <w:jc w:val="both"/>
        <w:rPr>
          <w:szCs w:val="24"/>
        </w:rPr>
      </w:pPr>
    </w:p>
    <w:p w14:paraId="4C749654" w14:textId="7257AA42" w:rsidR="00EF4214" w:rsidRDefault="00EF4214" w:rsidP="00731669">
      <w:pPr>
        <w:ind w:left="567"/>
        <w:jc w:val="both"/>
        <w:rPr>
          <w:szCs w:val="24"/>
        </w:rPr>
      </w:pPr>
      <w:r>
        <w:rPr>
          <w:szCs w:val="24"/>
        </w:rPr>
        <w:t>Up to £5m – additional capital spending can be approved by Cabinet on specific projects where</w:t>
      </w:r>
    </w:p>
    <w:p w14:paraId="282B9519" w14:textId="0C47C959" w:rsidR="00EF4214" w:rsidRDefault="00EF4214" w:rsidP="00EF4214">
      <w:pPr>
        <w:pStyle w:val="ListParagraph"/>
        <w:numPr>
          <w:ilvl w:val="0"/>
          <w:numId w:val="29"/>
        </w:numPr>
        <w:jc w:val="both"/>
        <w:rPr>
          <w:szCs w:val="24"/>
        </w:rPr>
      </w:pPr>
      <w:r>
        <w:rPr>
          <w:szCs w:val="24"/>
        </w:rPr>
        <w:t xml:space="preserve">The expenditure is wholly covered by additional external sources; and </w:t>
      </w:r>
    </w:p>
    <w:p w14:paraId="39040405" w14:textId="4D4A7D76" w:rsidR="00EF4214" w:rsidRDefault="00EF4214" w:rsidP="00EF4214">
      <w:pPr>
        <w:pStyle w:val="ListParagraph"/>
        <w:numPr>
          <w:ilvl w:val="0"/>
          <w:numId w:val="29"/>
        </w:numPr>
        <w:jc w:val="both"/>
        <w:rPr>
          <w:szCs w:val="24"/>
        </w:rPr>
      </w:pPr>
      <w:r>
        <w:rPr>
          <w:szCs w:val="24"/>
        </w:rPr>
        <w:t>The expenditure is in accordance with at least one of the priorities listed in the capital programme; and</w:t>
      </w:r>
    </w:p>
    <w:p w14:paraId="3E4D56B6" w14:textId="2FA0508E" w:rsidR="00EF4214" w:rsidRDefault="00EF4214" w:rsidP="00EF4214">
      <w:pPr>
        <w:pStyle w:val="ListParagraph"/>
        <w:numPr>
          <w:ilvl w:val="0"/>
          <w:numId w:val="29"/>
        </w:numPr>
        <w:jc w:val="both"/>
        <w:rPr>
          <w:szCs w:val="24"/>
        </w:rPr>
      </w:pPr>
      <w:r>
        <w:rPr>
          <w:szCs w:val="24"/>
        </w:rPr>
        <w:t>There are no full year revenue budget effects</w:t>
      </w:r>
    </w:p>
    <w:p w14:paraId="343F316D" w14:textId="2B14BC18" w:rsidR="00EF4214" w:rsidRDefault="00EF4214" w:rsidP="00EF4214">
      <w:pPr>
        <w:jc w:val="both"/>
        <w:rPr>
          <w:szCs w:val="24"/>
        </w:rPr>
      </w:pPr>
    </w:p>
    <w:p w14:paraId="5580B5B7" w14:textId="6D292A73" w:rsidR="00EF4214" w:rsidRPr="00EF4214" w:rsidRDefault="00EF4214" w:rsidP="00EF4214">
      <w:pPr>
        <w:ind w:left="567"/>
        <w:jc w:val="both"/>
        <w:rPr>
          <w:szCs w:val="24"/>
        </w:rPr>
      </w:pPr>
      <w:r>
        <w:rPr>
          <w:szCs w:val="24"/>
        </w:rPr>
        <w:t>The additional capital spending agreed by Cabinet in one financial year cannot exceed £20 million.</w:t>
      </w:r>
    </w:p>
    <w:p w14:paraId="5D3C79B0" w14:textId="74152BB4" w:rsidR="00E81EEA" w:rsidRPr="00CC3A3C" w:rsidRDefault="00E81EEA" w:rsidP="00731669">
      <w:pPr>
        <w:ind w:left="567"/>
        <w:jc w:val="both"/>
        <w:rPr>
          <w:szCs w:val="24"/>
        </w:rPr>
      </w:pPr>
    </w:p>
    <w:p w14:paraId="1222B777" w14:textId="3BB3A419" w:rsidR="0054590F" w:rsidRPr="00CC3A3C" w:rsidRDefault="00E269CF" w:rsidP="00731669">
      <w:pPr>
        <w:pStyle w:val="Heading2"/>
        <w:ind w:left="567" w:hanging="567"/>
        <w:jc w:val="both"/>
        <w:rPr>
          <w:sz w:val="24"/>
          <w:szCs w:val="24"/>
        </w:rPr>
      </w:pPr>
      <w:r w:rsidRPr="00CC3A3C">
        <w:rPr>
          <w:b w:val="0"/>
          <w:sz w:val="24"/>
          <w:szCs w:val="24"/>
        </w:rPr>
        <w:t>1</w:t>
      </w:r>
      <w:r w:rsidR="00BC74D1" w:rsidRPr="00CC3A3C">
        <w:rPr>
          <w:b w:val="0"/>
          <w:sz w:val="24"/>
          <w:szCs w:val="24"/>
        </w:rPr>
        <w:t>2</w:t>
      </w:r>
      <w:r w:rsidRPr="00CC3A3C">
        <w:rPr>
          <w:b w:val="0"/>
          <w:sz w:val="24"/>
          <w:szCs w:val="24"/>
        </w:rPr>
        <w:t>.0</w:t>
      </w:r>
      <w:r w:rsidRPr="00CC3A3C">
        <w:rPr>
          <w:sz w:val="24"/>
          <w:szCs w:val="24"/>
        </w:rPr>
        <w:tab/>
      </w:r>
      <w:r w:rsidR="00333FAA" w:rsidRPr="00CC3A3C">
        <w:rPr>
          <w:sz w:val="24"/>
          <w:szCs w:val="24"/>
        </w:rPr>
        <w:t>Financial Implications</w:t>
      </w:r>
    </w:p>
    <w:p w14:paraId="58E51DB5" w14:textId="77777777" w:rsidR="0054590F" w:rsidRPr="00CC3A3C" w:rsidRDefault="00E269CF" w:rsidP="00731669">
      <w:pPr>
        <w:tabs>
          <w:tab w:val="left" w:pos="709"/>
        </w:tabs>
        <w:ind w:left="567" w:hanging="567"/>
        <w:jc w:val="both"/>
        <w:rPr>
          <w:szCs w:val="24"/>
        </w:rPr>
      </w:pPr>
      <w:r w:rsidRPr="00CC3A3C">
        <w:rPr>
          <w:szCs w:val="24"/>
        </w:rPr>
        <w:tab/>
      </w:r>
      <w:r w:rsidR="005641E0" w:rsidRPr="00CC3A3C">
        <w:rPr>
          <w:szCs w:val="24"/>
        </w:rPr>
        <w:t>Financial matters are integral to this report.</w:t>
      </w:r>
    </w:p>
    <w:p w14:paraId="68B17B8C" w14:textId="77777777" w:rsidR="001C7E35" w:rsidRPr="00CC3A3C" w:rsidRDefault="001C7E35" w:rsidP="00AF66F2">
      <w:pPr>
        <w:pStyle w:val="Heading2"/>
        <w:jc w:val="both"/>
        <w:rPr>
          <w:sz w:val="24"/>
          <w:szCs w:val="24"/>
        </w:rPr>
      </w:pPr>
    </w:p>
    <w:p w14:paraId="7BDD9F0B" w14:textId="42F58AC2" w:rsidR="00333FAA" w:rsidRPr="00CC3A3C" w:rsidRDefault="00E269CF" w:rsidP="00731669">
      <w:pPr>
        <w:pStyle w:val="Heading2"/>
        <w:keepNext/>
        <w:ind w:left="567" w:hanging="567"/>
        <w:jc w:val="both"/>
        <w:rPr>
          <w:sz w:val="24"/>
          <w:szCs w:val="24"/>
        </w:rPr>
      </w:pPr>
      <w:r w:rsidRPr="00CC3A3C">
        <w:rPr>
          <w:b w:val="0"/>
          <w:sz w:val="24"/>
          <w:szCs w:val="24"/>
        </w:rPr>
        <w:t>1</w:t>
      </w:r>
      <w:r w:rsidR="00BC74D1" w:rsidRPr="00CC3A3C">
        <w:rPr>
          <w:b w:val="0"/>
          <w:sz w:val="24"/>
          <w:szCs w:val="24"/>
        </w:rPr>
        <w:t>3.</w:t>
      </w:r>
      <w:r w:rsidRPr="00CC3A3C">
        <w:rPr>
          <w:b w:val="0"/>
          <w:sz w:val="24"/>
          <w:szCs w:val="24"/>
        </w:rPr>
        <w:t>0</w:t>
      </w:r>
      <w:r w:rsidRPr="00CC3A3C">
        <w:rPr>
          <w:sz w:val="24"/>
          <w:szCs w:val="24"/>
        </w:rPr>
        <w:tab/>
      </w:r>
      <w:r w:rsidR="00333FAA" w:rsidRPr="00CC3A3C">
        <w:rPr>
          <w:sz w:val="24"/>
          <w:szCs w:val="24"/>
        </w:rPr>
        <w:t>Equalities implications</w:t>
      </w:r>
      <w:r w:rsidR="001C7E35" w:rsidRPr="00CC3A3C">
        <w:rPr>
          <w:sz w:val="24"/>
          <w:szCs w:val="24"/>
        </w:rPr>
        <w:t xml:space="preserve"> </w:t>
      </w:r>
      <w:r w:rsidR="00333FAA" w:rsidRPr="00CC3A3C">
        <w:rPr>
          <w:sz w:val="24"/>
          <w:szCs w:val="24"/>
        </w:rPr>
        <w:t>/</w:t>
      </w:r>
      <w:r w:rsidR="001C7E35" w:rsidRPr="00CC3A3C">
        <w:rPr>
          <w:sz w:val="24"/>
          <w:szCs w:val="24"/>
        </w:rPr>
        <w:t xml:space="preserve"> </w:t>
      </w:r>
      <w:r w:rsidR="00333FAA" w:rsidRPr="00CC3A3C">
        <w:rPr>
          <w:sz w:val="24"/>
          <w:szCs w:val="24"/>
        </w:rPr>
        <w:t>Public Sector Equality Duty</w:t>
      </w:r>
    </w:p>
    <w:p w14:paraId="2187A39A" w14:textId="77777777" w:rsidR="00990FE6" w:rsidRPr="00CC3A3C" w:rsidRDefault="00990FE6" w:rsidP="00731669">
      <w:pPr>
        <w:ind w:left="567" w:hanging="567"/>
      </w:pPr>
    </w:p>
    <w:p w14:paraId="5D5B50CF" w14:textId="22DC888A" w:rsidR="00731669" w:rsidRPr="00CC3A3C" w:rsidRDefault="00731669" w:rsidP="00731669">
      <w:pPr>
        <w:ind w:left="567" w:hanging="567"/>
      </w:pPr>
      <w:r w:rsidRPr="00CC3A3C">
        <w:t xml:space="preserve">13.1 </w:t>
      </w:r>
      <w:r w:rsidR="00990FE6" w:rsidRPr="00CC3A3C">
        <w:t>Decision makers should have due regard to the public sector equality duty in making their decisions. The equalities duties are continuing duties they are not duties to secure a particular outcome. The equalities impact will be revisited on each of the</w:t>
      </w:r>
      <w:r w:rsidR="00372313">
        <w:t xml:space="preserve"> budget</w:t>
      </w:r>
      <w:r w:rsidR="00990FE6" w:rsidRPr="00CC3A3C">
        <w:t xml:space="preserve"> proposals as they are developed. Consideration of the duties should prec</w:t>
      </w:r>
      <w:r w:rsidR="00C75F94" w:rsidRPr="00CC3A3C">
        <w:t xml:space="preserve">ede </w:t>
      </w:r>
      <w:r w:rsidR="00990FE6" w:rsidRPr="00CC3A3C">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CC3A3C" w:rsidRDefault="00731669" w:rsidP="00731669">
      <w:pPr>
        <w:ind w:left="567" w:hanging="567"/>
      </w:pPr>
    </w:p>
    <w:p w14:paraId="7B11E615" w14:textId="1589DE9E" w:rsidR="00990FE6" w:rsidRPr="00CC3A3C" w:rsidRDefault="00731669" w:rsidP="00731669">
      <w:pPr>
        <w:ind w:left="567" w:hanging="567"/>
      </w:pPr>
      <w:r w:rsidRPr="00CC3A3C">
        <w:t xml:space="preserve">13.2 </w:t>
      </w:r>
      <w:r w:rsidR="00990FE6" w:rsidRPr="00CC3A3C">
        <w:t>A public authority must, in the exercise of its functions, have due regard to the need to:</w:t>
      </w:r>
    </w:p>
    <w:p w14:paraId="568C4E6B" w14:textId="77777777" w:rsidR="00F17392" w:rsidRPr="00CC3A3C" w:rsidRDefault="00F17392" w:rsidP="00F17392">
      <w:pPr>
        <w:ind w:left="709"/>
      </w:pPr>
    </w:p>
    <w:p w14:paraId="78B4BCD2" w14:textId="10DBA6BF" w:rsidR="00990FE6" w:rsidRPr="00CC3A3C" w:rsidRDefault="00990FE6" w:rsidP="00AF06B3">
      <w:pPr>
        <w:pStyle w:val="ListParagraph"/>
        <w:numPr>
          <w:ilvl w:val="0"/>
          <w:numId w:val="6"/>
        </w:numPr>
        <w:ind w:hanging="578"/>
      </w:pPr>
      <w:r w:rsidRPr="00CC3A3C">
        <w:t>eliminate discrimination, harassment, victimisation and any other conduct that is prohibited by or under this Act;</w:t>
      </w:r>
    </w:p>
    <w:p w14:paraId="48BCB49B" w14:textId="1A723A80" w:rsidR="00990FE6" w:rsidRPr="00CC3A3C" w:rsidRDefault="00990FE6" w:rsidP="00AF06B3">
      <w:pPr>
        <w:pStyle w:val="ListParagraph"/>
        <w:numPr>
          <w:ilvl w:val="0"/>
          <w:numId w:val="6"/>
        </w:numPr>
        <w:ind w:hanging="578"/>
      </w:pPr>
      <w:r w:rsidRPr="00CC3A3C">
        <w:t>advance equality of opportunity between persons who share a relevant protected characteristic and persons who do not share it;</w:t>
      </w:r>
    </w:p>
    <w:p w14:paraId="0A6982F1" w14:textId="2B3AFF97" w:rsidR="00990FE6" w:rsidRPr="00CC3A3C" w:rsidRDefault="00990FE6" w:rsidP="00AF06B3">
      <w:pPr>
        <w:pStyle w:val="ListParagraph"/>
        <w:numPr>
          <w:ilvl w:val="0"/>
          <w:numId w:val="6"/>
        </w:numPr>
        <w:ind w:hanging="578"/>
      </w:pPr>
      <w:r w:rsidRPr="00CC3A3C">
        <w:lastRenderedPageBreak/>
        <w:t>Foster good relations between persons who share a relevant protected characteristic and persons who do not share it.</w:t>
      </w:r>
    </w:p>
    <w:p w14:paraId="39FA844C" w14:textId="77777777" w:rsidR="00560DEF" w:rsidRPr="00CC3A3C" w:rsidRDefault="00560DEF" w:rsidP="009B2C8F">
      <w:pPr>
        <w:pStyle w:val="ListParagraph"/>
        <w:ind w:left="1429"/>
      </w:pPr>
    </w:p>
    <w:p w14:paraId="0CD108DB" w14:textId="2B8AC1F7" w:rsidR="00990FE6" w:rsidRPr="00CC3A3C" w:rsidRDefault="00731669" w:rsidP="00731669">
      <w:pPr>
        <w:ind w:left="720" w:hanging="720"/>
      </w:pPr>
      <w:r w:rsidRPr="00CC3A3C">
        <w:t>13.2</w:t>
      </w:r>
      <w:r w:rsidRPr="00CC3A3C">
        <w:tab/>
      </w:r>
      <w:r w:rsidR="00990FE6" w:rsidRPr="00CC3A3C">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CC3A3C" w:rsidRDefault="00560DEF" w:rsidP="00F17392">
      <w:pPr>
        <w:ind w:left="709"/>
      </w:pPr>
    </w:p>
    <w:p w14:paraId="4A4D80F7" w14:textId="116C1B73" w:rsidR="00990FE6" w:rsidRPr="00CC3A3C" w:rsidRDefault="00990FE6" w:rsidP="00AF06B3">
      <w:pPr>
        <w:pStyle w:val="ListParagraph"/>
        <w:numPr>
          <w:ilvl w:val="0"/>
          <w:numId w:val="7"/>
        </w:numPr>
        <w:ind w:hanging="578"/>
      </w:pPr>
      <w:r w:rsidRPr="00CC3A3C">
        <w:t>remove or minimise disadvantages suffered by persons who share a relevant protected characteristic that are connected to that characteristic;</w:t>
      </w:r>
    </w:p>
    <w:p w14:paraId="1A59618B" w14:textId="7B65CB36" w:rsidR="00990FE6" w:rsidRPr="00CC3A3C" w:rsidRDefault="00990FE6" w:rsidP="00AF06B3">
      <w:pPr>
        <w:pStyle w:val="ListParagraph"/>
        <w:numPr>
          <w:ilvl w:val="0"/>
          <w:numId w:val="7"/>
        </w:numPr>
        <w:ind w:hanging="578"/>
      </w:pPr>
      <w:r w:rsidRPr="00CC3A3C">
        <w:t>take steps to meet the needs of persons who share a relevant protected characteristic that are different from the needs of persons who do not share it;</w:t>
      </w:r>
    </w:p>
    <w:p w14:paraId="03CFB31B" w14:textId="77777777" w:rsidR="000942BF" w:rsidRDefault="00990FE6" w:rsidP="00AF06B3">
      <w:pPr>
        <w:pStyle w:val="ListParagraph"/>
        <w:numPr>
          <w:ilvl w:val="0"/>
          <w:numId w:val="7"/>
        </w:numPr>
        <w:ind w:hanging="578"/>
      </w:pPr>
      <w:r w:rsidRPr="00CC3A3C">
        <w:t>Encourage persons who share a relevant protected characteristic to participate in public life or in any other activity in which participation by such persons is disproportionately low.</w:t>
      </w:r>
    </w:p>
    <w:p w14:paraId="04A8CDF0" w14:textId="77777777" w:rsidR="000942BF" w:rsidRDefault="00990FE6" w:rsidP="00AF06B3">
      <w:pPr>
        <w:pStyle w:val="ListParagraph"/>
        <w:numPr>
          <w:ilvl w:val="0"/>
          <w:numId w:val="7"/>
        </w:numPr>
        <w:ind w:hanging="578"/>
      </w:pPr>
      <w:r w:rsidRPr="00CC3A3C">
        <w:t>The steps involved in meeting the needs of disabled persons that are different from the needs of persons who are not disabled include, in particular, steps to take account of disabled persons’ disabilities.</w:t>
      </w:r>
    </w:p>
    <w:p w14:paraId="5128BA33" w14:textId="039EF850" w:rsidR="00990FE6" w:rsidRPr="00CC3A3C" w:rsidRDefault="00990FE6" w:rsidP="00AF06B3">
      <w:pPr>
        <w:pStyle w:val="ListParagraph"/>
        <w:numPr>
          <w:ilvl w:val="0"/>
          <w:numId w:val="7"/>
        </w:numPr>
        <w:ind w:hanging="578"/>
      </w:pPr>
      <w:r w:rsidRPr="00CC3A3C">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CC3A3C" w:rsidRDefault="00990FE6" w:rsidP="00AF06B3">
      <w:pPr>
        <w:pStyle w:val="ListParagraph"/>
        <w:numPr>
          <w:ilvl w:val="0"/>
          <w:numId w:val="9"/>
        </w:numPr>
        <w:ind w:hanging="578"/>
      </w:pPr>
      <w:r w:rsidRPr="00CC3A3C">
        <w:t>Tackle prejudice, and</w:t>
      </w:r>
    </w:p>
    <w:p w14:paraId="0B398716" w14:textId="4599FF67" w:rsidR="00990FE6" w:rsidRPr="00CC3A3C" w:rsidRDefault="00990FE6" w:rsidP="00AF06B3">
      <w:pPr>
        <w:pStyle w:val="ListParagraph"/>
        <w:numPr>
          <w:ilvl w:val="0"/>
          <w:numId w:val="8"/>
        </w:numPr>
        <w:ind w:hanging="578"/>
      </w:pPr>
      <w:r w:rsidRPr="00CC3A3C">
        <w:t>Promote understanding.</w:t>
      </w:r>
      <w:r w:rsidR="00AE1CFD">
        <w:t xml:space="preserve"> </w:t>
      </w:r>
    </w:p>
    <w:p w14:paraId="34E6AD96" w14:textId="77777777" w:rsidR="007C5702" w:rsidRPr="00CC3A3C" w:rsidRDefault="007C5702" w:rsidP="007C5702">
      <w:pPr>
        <w:pStyle w:val="ListParagraph"/>
        <w:ind w:left="1429"/>
      </w:pPr>
    </w:p>
    <w:p w14:paraId="38FFFD95" w14:textId="053FF494" w:rsidR="00990FE6" w:rsidRPr="00CC3A3C" w:rsidRDefault="00731669" w:rsidP="00731669">
      <w:pPr>
        <w:ind w:left="720" w:hanging="720"/>
      </w:pPr>
      <w:r w:rsidRPr="00CC3A3C">
        <w:t>13.3</w:t>
      </w:r>
      <w:r w:rsidRPr="00CC3A3C">
        <w:tab/>
      </w:r>
      <w:r w:rsidR="00990FE6" w:rsidRPr="00CC3A3C">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CC3A3C" w:rsidRDefault="00990FE6" w:rsidP="00AF06B3">
      <w:pPr>
        <w:pStyle w:val="ListParagraph"/>
        <w:numPr>
          <w:ilvl w:val="1"/>
          <w:numId w:val="23"/>
        </w:numPr>
        <w:ind w:left="1418" w:hanging="567"/>
      </w:pPr>
      <w:r w:rsidRPr="00CC3A3C">
        <w:t>Age</w:t>
      </w:r>
    </w:p>
    <w:p w14:paraId="2ED037E6" w14:textId="601FF25C" w:rsidR="00990FE6" w:rsidRPr="00CC3A3C" w:rsidRDefault="00990FE6" w:rsidP="00AF06B3">
      <w:pPr>
        <w:pStyle w:val="ListParagraph"/>
        <w:numPr>
          <w:ilvl w:val="1"/>
          <w:numId w:val="23"/>
        </w:numPr>
        <w:ind w:left="1418" w:hanging="567"/>
      </w:pPr>
      <w:r w:rsidRPr="00CC3A3C">
        <w:t>Disability</w:t>
      </w:r>
    </w:p>
    <w:p w14:paraId="04FD4D12" w14:textId="097260BF" w:rsidR="00990FE6" w:rsidRPr="00CC3A3C" w:rsidRDefault="00990FE6" w:rsidP="00AF06B3">
      <w:pPr>
        <w:pStyle w:val="ListParagraph"/>
        <w:numPr>
          <w:ilvl w:val="1"/>
          <w:numId w:val="23"/>
        </w:numPr>
        <w:ind w:left="1418" w:hanging="567"/>
      </w:pPr>
      <w:r w:rsidRPr="00CC3A3C">
        <w:t>Gender reassignment</w:t>
      </w:r>
    </w:p>
    <w:p w14:paraId="04826F34" w14:textId="22B91C44" w:rsidR="00990FE6" w:rsidRPr="00CC3A3C" w:rsidRDefault="00990FE6" w:rsidP="00AF06B3">
      <w:pPr>
        <w:pStyle w:val="ListParagraph"/>
        <w:numPr>
          <w:ilvl w:val="1"/>
          <w:numId w:val="23"/>
        </w:numPr>
        <w:ind w:left="1418" w:hanging="567"/>
      </w:pPr>
      <w:r w:rsidRPr="00CC3A3C">
        <w:t>Pregnancy and maternity</w:t>
      </w:r>
    </w:p>
    <w:p w14:paraId="1AF0D231" w14:textId="00BBA8A8" w:rsidR="00990FE6" w:rsidRPr="00CC3A3C" w:rsidRDefault="00990FE6" w:rsidP="00AF06B3">
      <w:pPr>
        <w:pStyle w:val="ListParagraph"/>
        <w:numPr>
          <w:ilvl w:val="1"/>
          <w:numId w:val="23"/>
        </w:numPr>
        <w:ind w:left="1418" w:hanging="567"/>
      </w:pPr>
      <w:r w:rsidRPr="00CC3A3C">
        <w:t>Race,</w:t>
      </w:r>
    </w:p>
    <w:p w14:paraId="23BC7366" w14:textId="5F71374B" w:rsidR="00990FE6" w:rsidRPr="00CC3A3C" w:rsidRDefault="00990FE6" w:rsidP="00AF06B3">
      <w:pPr>
        <w:pStyle w:val="ListParagraph"/>
        <w:numPr>
          <w:ilvl w:val="1"/>
          <w:numId w:val="23"/>
        </w:numPr>
        <w:ind w:left="1418" w:hanging="567"/>
      </w:pPr>
      <w:r w:rsidRPr="00CC3A3C">
        <w:t>Religion or belief</w:t>
      </w:r>
    </w:p>
    <w:p w14:paraId="0FA3E27B" w14:textId="2A8A71CF" w:rsidR="00990FE6" w:rsidRPr="00CC3A3C" w:rsidRDefault="00990FE6" w:rsidP="00AF06B3">
      <w:pPr>
        <w:pStyle w:val="ListParagraph"/>
        <w:numPr>
          <w:ilvl w:val="1"/>
          <w:numId w:val="23"/>
        </w:numPr>
        <w:ind w:left="1418" w:hanging="567"/>
      </w:pPr>
      <w:r w:rsidRPr="00CC3A3C">
        <w:t>Sex</w:t>
      </w:r>
    </w:p>
    <w:p w14:paraId="1D3434AB" w14:textId="499A98AD" w:rsidR="00990FE6" w:rsidRPr="00CC3A3C" w:rsidRDefault="00990FE6" w:rsidP="00AF06B3">
      <w:pPr>
        <w:pStyle w:val="ListParagraph"/>
        <w:numPr>
          <w:ilvl w:val="1"/>
          <w:numId w:val="23"/>
        </w:numPr>
        <w:ind w:left="1418" w:hanging="567"/>
      </w:pPr>
      <w:r w:rsidRPr="00CC3A3C">
        <w:t>Sexual orientation</w:t>
      </w:r>
    </w:p>
    <w:p w14:paraId="76D54F7F" w14:textId="47728CC4" w:rsidR="00990FE6" w:rsidRPr="00CC3A3C" w:rsidRDefault="00990FE6" w:rsidP="00AF06B3">
      <w:pPr>
        <w:pStyle w:val="ListParagraph"/>
        <w:numPr>
          <w:ilvl w:val="1"/>
          <w:numId w:val="23"/>
        </w:numPr>
        <w:ind w:left="1418" w:hanging="567"/>
      </w:pPr>
      <w:r w:rsidRPr="00CC3A3C">
        <w:t>Marriage and Civil partnership</w:t>
      </w:r>
    </w:p>
    <w:p w14:paraId="6F2E1C32" w14:textId="77777777" w:rsidR="00990FE6" w:rsidRPr="00CC3A3C" w:rsidRDefault="00990FE6" w:rsidP="00990FE6"/>
    <w:p w14:paraId="184DB03F" w14:textId="5DBC57B2" w:rsidR="007163A8" w:rsidRDefault="00731669" w:rsidP="007163A8">
      <w:pPr>
        <w:rPr>
          <w:szCs w:val="24"/>
        </w:rPr>
      </w:pPr>
      <w:r w:rsidRPr="00CC3A3C">
        <w:rPr>
          <w:szCs w:val="24"/>
        </w:rPr>
        <w:t>13.4</w:t>
      </w:r>
      <w:r w:rsidRPr="00CC3A3C">
        <w:rPr>
          <w:szCs w:val="24"/>
        </w:rPr>
        <w:tab/>
      </w:r>
      <w:r w:rsidR="005641E0" w:rsidRPr="00CC3A3C">
        <w:rPr>
          <w:szCs w:val="24"/>
        </w:rPr>
        <w:t>Eq</w:t>
      </w:r>
      <w:r w:rsidR="007647E7" w:rsidRPr="00CC3A3C">
        <w:rPr>
          <w:szCs w:val="24"/>
        </w:rPr>
        <w:t>uality assessment</w:t>
      </w:r>
      <w:r w:rsidR="005641E0" w:rsidRPr="00CC3A3C">
        <w:rPr>
          <w:szCs w:val="24"/>
        </w:rPr>
        <w:t xml:space="preserve">s were undertaken </w:t>
      </w:r>
      <w:r w:rsidR="003001F1" w:rsidRPr="00CC3A3C">
        <w:rPr>
          <w:szCs w:val="24"/>
        </w:rPr>
        <w:t>for the budget proposals agreed by Council</w:t>
      </w:r>
      <w:r w:rsidR="005641E0" w:rsidRPr="00CC3A3C">
        <w:rPr>
          <w:szCs w:val="24"/>
        </w:rPr>
        <w:t xml:space="preserve"> listed as part of the MTFS process and an overall </w:t>
      </w:r>
      <w:r w:rsidR="007647E7" w:rsidRPr="00CC3A3C">
        <w:rPr>
          <w:szCs w:val="24"/>
        </w:rPr>
        <w:t>e</w:t>
      </w:r>
      <w:r w:rsidR="005641E0" w:rsidRPr="00CC3A3C">
        <w:rPr>
          <w:szCs w:val="24"/>
        </w:rPr>
        <w:t>q</w:t>
      </w:r>
      <w:r w:rsidR="007647E7" w:rsidRPr="00CC3A3C">
        <w:rPr>
          <w:szCs w:val="24"/>
        </w:rPr>
        <w:t>uality assessment</w:t>
      </w:r>
      <w:r w:rsidR="005641E0" w:rsidRPr="00CC3A3C">
        <w:rPr>
          <w:szCs w:val="24"/>
        </w:rPr>
        <w:t xml:space="preserve"> was undertaken on the MTFS. </w:t>
      </w:r>
    </w:p>
    <w:p w14:paraId="1D7D3403" w14:textId="67412397" w:rsidR="002E0F2C" w:rsidRPr="00E54211" w:rsidRDefault="002E0F2C" w:rsidP="007163A8">
      <w:pPr>
        <w:rPr>
          <w:szCs w:val="24"/>
        </w:rPr>
      </w:pPr>
    </w:p>
    <w:p w14:paraId="03C00D35" w14:textId="4F8FE838" w:rsidR="002E0F2C" w:rsidRPr="00E54211" w:rsidRDefault="002E0F2C" w:rsidP="002E0F2C">
      <w:pPr>
        <w:rPr>
          <w:szCs w:val="24"/>
        </w:rPr>
      </w:pPr>
      <w:r w:rsidRPr="00E54211">
        <w:rPr>
          <w:szCs w:val="24"/>
        </w:rPr>
        <w:t>13.5</w:t>
      </w:r>
      <w:r w:rsidRPr="00E54211">
        <w:rPr>
          <w:szCs w:val="24"/>
        </w:rPr>
        <w:tab/>
        <w:t>There is only recommendation in this report for decision “That Cabinet approve the proposed amendments to the Capital Programme as set out in paragraphs 3.33 to 3.</w:t>
      </w:r>
      <w:r w:rsidR="00E54211" w:rsidRPr="00E54211">
        <w:rPr>
          <w:szCs w:val="24"/>
        </w:rPr>
        <w:t>34</w:t>
      </w:r>
      <w:r w:rsidRPr="00E54211">
        <w:rPr>
          <w:szCs w:val="24"/>
        </w:rPr>
        <w:t>” it is not considered that this will have a detrimental equalities impact.</w:t>
      </w:r>
    </w:p>
    <w:p w14:paraId="48FF4327" w14:textId="77777777" w:rsidR="002E0F2C" w:rsidRPr="00CC3A3C" w:rsidRDefault="002E0F2C" w:rsidP="007163A8">
      <w:pPr>
        <w:rPr>
          <w:szCs w:val="24"/>
        </w:rPr>
      </w:pPr>
    </w:p>
    <w:p w14:paraId="21EA8B97" w14:textId="24D0337F" w:rsidR="00325251" w:rsidRPr="009C2BA3" w:rsidRDefault="009C2BA3" w:rsidP="00731669">
      <w:pPr>
        <w:ind w:left="709" w:hanging="709"/>
        <w:jc w:val="both"/>
        <w:rPr>
          <w:b/>
          <w:bCs/>
          <w:szCs w:val="24"/>
        </w:rPr>
      </w:pPr>
      <w:r w:rsidRPr="009C2BA3">
        <w:rPr>
          <w:b/>
          <w:bCs/>
          <w:szCs w:val="24"/>
        </w:rPr>
        <w:lastRenderedPageBreak/>
        <w:t>14.0</w:t>
      </w:r>
      <w:r w:rsidRPr="009C2BA3">
        <w:rPr>
          <w:b/>
          <w:bCs/>
          <w:szCs w:val="24"/>
        </w:rPr>
        <w:tab/>
        <w:t>Council Priorities</w:t>
      </w:r>
    </w:p>
    <w:p w14:paraId="62545583" w14:textId="58616A11" w:rsidR="009C2BA3" w:rsidRDefault="009C2BA3" w:rsidP="00731669">
      <w:pPr>
        <w:ind w:left="709" w:hanging="709"/>
        <w:jc w:val="both"/>
        <w:rPr>
          <w:szCs w:val="24"/>
        </w:rPr>
      </w:pPr>
    </w:p>
    <w:p w14:paraId="2C2EE219" w14:textId="07000159" w:rsidR="009C2BA3" w:rsidRDefault="009C2BA3" w:rsidP="009C2BA3">
      <w:pPr>
        <w:pStyle w:val="ListParagraph"/>
        <w:numPr>
          <w:ilvl w:val="2"/>
          <w:numId w:val="30"/>
        </w:numPr>
        <w:ind w:left="1418" w:hanging="425"/>
        <w:jc w:val="both"/>
        <w:rPr>
          <w:szCs w:val="24"/>
        </w:rPr>
      </w:pPr>
      <w:r>
        <w:rPr>
          <w:szCs w:val="24"/>
        </w:rPr>
        <w:t>A council that puts residents first</w:t>
      </w:r>
    </w:p>
    <w:p w14:paraId="26405799" w14:textId="1A2E04F9" w:rsidR="009C2BA3" w:rsidRDefault="009C2BA3" w:rsidP="009C2BA3">
      <w:pPr>
        <w:pStyle w:val="ListParagraph"/>
        <w:numPr>
          <w:ilvl w:val="2"/>
          <w:numId w:val="30"/>
        </w:numPr>
        <w:ind w:left="1418" w:hanging="425"/>
        <w:jc w:val="both"/>
        <w:rPr>
          <w:szCs w:val="24"/>
        </w:rPr>
      </w:pPr>
      <w:r>
        <w:rPr>
          <w:szCs w:val="24"/>
        </w:rPr>
        <w:t>A borough that is clean and safe</w:t>
      </w:r>
    </w:p>
    <w:p w14:paraId="7281929B" w14:textId="40F19217" w:rsidR="009C2BA3" w:rsidRPr="009C2BA3" w:rsidRDefault="009C2BA3" w:rsidP="009C2BA3">
      <w:pPr>
        <w:pStyle w:val="ListParagraph"/>
        <w:numPr>
          <w:ilvl w:val="2"/>
          <w:numId w:val="30"/>
        </w:numPr>
        <w:ind w:left="1418" w:hanging="425"/>
        <w:jc w:val="both"/>
        <w:rPr>
          <w:szCs w:val="24"/>
        </w:rPr>
      </w:pPr>
      <w:r>
        <w:rPr>
          <w:szCs w:val="24"/>
        </w:rPr>
        <w:t>A place where those in need are supported</w:t>
      </w:r>
    </w:p>
    <w:p w14:paraId="28D22A20" w14:textId="77777777" w:rsidR="009C2BA3" w:rsidRPr="00CC3A3C" w:rsidRDefault="009C2BA3" w:rsidP="00731669">
      <w:pPr>
        <w:ind w:left="709" w:hanging="709"/>
        <w:jc w:val="both"/>
        <w:rPr>
          <w:szCs w:val="24"/>
        </w:rPr>
      </w:pPr>
    </w:p>
    <w:p w14:paraId="47BCC815" w14:textId="77777777" w:rsidR="00333FAA" w:rsidRPr="00CC3A3C" w:rsidRDefault="00333FAA" w:rsidP="00333FAA">
      <w:pPr>
        <w:pStyle w:val="Heading1"/>
        <w:keepNext/>
      </w:pPr>
      <w:r w:rsidRPr="00CC3A3C">
        <w:t>Section 3 - Statutory Officer Clearance</w:t>
      </w:r>
    </w:p>
    <w:p w14:paraId="3054B45B" w14:textId="77777777" w:rsidR="00333FAA" w:rsidRPr="00CC3A3C" w:rsidRDefault="00333FAA" w:rsidP="00333FAA">
      <w:pPr>
        <w:keepNext/>
        <w:rPr>
          <w:rFonts w:cs="Arial"/>
        </w:rPr>
      </w:pPr>
    </w:p>
    <w:p w14:paraId="408922F9" w14:textId="361662FA" w:rsidR="00166B73" w:rsidRPr="00421A1D" w:rsidRDefault="00166B73" w:rsidP="00166B73">
      <w:pPr>
        <w:rPr>
          <w:sz w:val="28"/>
        </w:rPr>
      </w:pPr>
      <w:r w:rsidRPr="00421A1D">
        <w:rPr>
          <w:b/>
          <w:sz w:val="28"/>
        </w:rPr>
        <w:t>Statutory Officer:  Dawn Calvert</w:t>
      </w:r>
    </w:p>
    <w:p w14:paraId="680F7289" w14:textId="3BB843E1" w:rsidR="00166B73" w:rsidRPr="00421A1D" w:rsidRDefault="00166B73" w:rsidP="00166B73">
      <w:r w:rsidRPr="00421A1D">
        <w:t>Signed by the Chief Financial Officer</w:t>
      </w:r>
    </w:p>
    <w:p w14:paraId="0AD3F108" w14:textId="5F9C0DA6" w:rsidR="00166B73" w:rsidRPr="00421A1D" w:rsidRDefault="00166B73" w:rsidP="00166B73">
      <w:pPr>
        <w:spacing w:after="480"/>
        <w:rPr>
          <w:sz w:val="28"/>
        </w:rPr>
      </w:pPr>
      <w:r w:rsidRPr="00421A1D">
        <w:rPr>
          <w:b/>
          <w:sz w:val="28"/>
        </w:rPr>
        <w:t xml:space="preserve">Date:  </w:t>
      </w:r>
      <w:r w:rsidR="009C2BA3">
        <w:rPr>
          <w:b/>
          <w:sz w:val="28"/>
        </w:rPr>
        <w:t>28/11/</w:t>
      </w:r>
      <w:r w:rsidR="00FE1AC6">
        <w:rPr>
          <w:b/>
          <w:sz w:val="28"/>
        </w:rPr>
        <w:t>2</w:t>
      </w:r>
      <w:r w:rsidR="009C2BA3">
        <w:rPr>
          <w:b/>
          <w:sz w:val="28"/>
        </w:rPr>
        <w:t>2</w:t>
      </w:r>
    </w:p>
    <w:p w14:paraId="7FD2824A" w14:textId="6E421B90" w:rsidR="00166B73" w:rsidRPr="00421A1D" w:rsidRDefault="00166B73" w:rsidP="00166B73">
      <w:pPr>
        <w:rPr>
          <w:sz w:val="28"/>
        </w:rPr>
      </w:pPr>
      <w:r w:rsidRPr="00421A1D">
        <w:rPr>
          <w:b/>
          <w:sz w:val="28"/>
        </w:rPr>
        <w:t>Statutory Officer:  Jessica Farmer</w:t>
      </w:r>
    </w:p>
    <w:p w14:paraId="49DD4E8A" w14:textId="482D912F" w:rsidR="00166B73" w:rsidRPr="00421A1D" w:rsidRDefault="00166B73" w:rsidP="00166B73">
      <w:r w:rsidRPr="00421A1D">
        <w:t>Signed on behalf of the Monitoring Officer</w:t>
      </w:r>
    </w:p>
    <w:p w14:paraId="0A1EC408" w14:textId="52FAA8A8" w:rsidR="00166B73" w:rsidRPr="00421A1D" w:rsidRDefault="00166B73" w:rsidP="00166B73">
      <w:pPr>
        <w:spacing w:after="480"/>
        <w:rPr>
          <w:sz w:val="28"/>
        </w:rPr>
      </w:pPr>
      <w:r w:rsidRPr="00421A1D">
        <w:rPr>
          <w:b/>
          <w:sz w:val="28"/>
        </w:rPr>
        <w:t xml:space="preserve">Date:  </w:t>
      </w:r>
      <w:r w:rsidR="00EF4214">
        <w:rPr>
          <w:b/>
          <w:sz w:val="28"/>
        </w:rPr>
        <w:t>23/11/22</w:t>
      </w:r>
    </w:p>
    <w:p w14:paraId="59531151" w14:textId="48B67332" w:rsidR="00166B73" w:rsidRPr="00605CEF" w:rsidRDefault="00166B73" w:rsidP="00166B73">
      <w:pPr>
        <w:rPr>
          <w:sz w:val="28"/>
        </w:rPr>
      </w:pPr>
      <w:r w:rsidRPr="00605CEF">
        <w:rPr>
          <w:b/>
          <w:sz w:val="28"/>
        </w:rPr>
        <w:t xml:space="preserve">Chief Officer:  </w:t>
      </w:r>
      <w:r w:rsidR="00E20691">
        <w:rPr>
          <w:b/>
          <w:sz w:val="28"/>
        </w:rPr>
        <w:t>Pat Flaherty</w:t>
      </w:r>
    </w:p>
    <w:p w14:paraId="62CC2E6C" w14:textId="7F2DAC78" w:rsidR="00166B73" w:rsidRPr="00605CEF" w:rsidRDefault="00166B73" w:rsidP="00166B73">
      <w:r w:rsidRPr="00605CEF">
        <w:t xml:space="preserve">Signed off by the </w:t>
      </w:r>
      <w:r w:rsidR="0081366B">
        <w:t>Chief Executive</w:t>
      </w:r>
    </w:p>
    <w:p w14:paraId="7969C720" w14:textId="0DFD6789" w:rsidR="00166B73" w:rsidRPr="00605CEF" w:rsidRDefault="00166B73" w:rsidP="00166B73">
      <w:pPr>
        <w:spacing w:after="480"/>
        <w:rPr>
          <w:sz w:val="28"/>
        </w:rPr>
      </w:pPr>
      <w:r w:rsidRPr="00605CEF">
        <w:rPr>
          <w:b/>
          <w:sz w:val="28"/>
        </w:rPr>
        <w:t xml:space="preserve">Date:  </w:t>
      </w:r>
      <w:r w:rsidR="009C2BA3">
        <w:rPr>
          <w:b/>
          <w:sz w:val="28"/>
        </w:rPr>
        <w:t>28/11/</w:t>
      </w:r>
      <w:r w:rsidR="00FE1AC6">
        <w:rPr>
          <w:b/>
          <w:sz w:val="28"/>
        </w:rPr>
        <w:t>2</w:t>
      </w:r>
      <w:r w:rsidR="009C2BA3">
        <w:rPr>
          <w:b/>
          <w:sz w:val="28"/>
        </w:rPr>
        <w:t>2</w:t>
      </w:r>
    </w:p>
    <w:p w14:paraId="6A09054B" w14:textId="76E9B250" w:rsidR="00166B73" w:rsidRPr="00605CEF" w:rsidRDefault="00166B73" w:rsidP="00166B73">
      <w:pPr>
        <w:rPr>
          <w:sz w:val="28"/>
        </w:rPr>
      </w:pPr>
      <w:r w:rsidRPr="00605CEF">
        <w:rPr>
          <w:b/>
          <w:sz w:val="28"/>
        </w:rPr>
        <w:t>Head of Procurement:  Nimesh Mehta</w:t>
      </w:r>
    </w:p>
    <w:p w14:paraId="771CF306" w14:textId="30F0399B" w:rsidR="00166B73" w:rsidRPr="00605CEF" w:rsidRDefault="00166B73" w:rsidP="00166B73">
      <w:r w:rsidRPr="00605CEF">
        <w:t>Signed by the Head of Procurement</w:t>
      </w:r>
    </w:p>
    <w:p w14:paraId="72B6B1A2" w14:textId="299C1CE9" w:rsidR="00166B73" w:rsidRPr="00605CEF" w:rsidRDefault="00166B73" w:rsidP="00166B73">
      <w:pPr>
        <w:spacing w:after="480"/>
        <w:rPr>
          <w:sz w:val="28"/>
        </w:rPr>
      </w:pPr>
      <w:r w:rsidRPr="00605CEF">
        <w:rPr>
          <w:b/>
          <w:sz w:val="28"/>
        </w:rPr>
        <w:t xml:space="preserve">Date: </w:t>
      </w:r>
      <w:r w:rsidR="00EF4214">
        <w:rPr>
          <w:b/>
          <w:sz w:val="28"/>
        </w:rPr>
        <w:t>18/11/22</w:t>
      </w:r>
    </w:p>
    <w:p w14:paraId="65C97688" w14:textId="2BA2B3F1" w:rsidR="00166B73" w:rsidRPr="00605CEF" w:rsidRDefault="00166B73" w:rsidP="00166B73">
      <w:pPr>
        <w:rPr>
          <w:sz w:val="28"/>
        </w:rPr>
      </w:pPr>
      <w:r w:rsidRPr="00605CEF">
        <w:rPr>
          <w:b/>
          <w:sz w:val="28"/>
        </w:rPr>
        <w:t xml:space="preserve">Head of Internal Audit:  </w:t>
      </w:r>
      <w:r w:rsidR="00900357">
        <w:rPr>
          <w:b/>
          <w:sz w:val="28"/>
        </w:rPr>
        <w:t>Dawn Calvert</w:t>
      </w:r>
    </w:p>
    <w:p w14:paraId="7CD521C9" w14:textId="25B591CD" w:rsidR="00166B73" w:rsidRPr="00605CEF" w:rsidRDefault="00166B73" w:rsidP="00166B73">
      <w:r w:rsidRPr="00605CEF">
        <w:t xml:space="preserve">Signed </w:t>
      </w:r>
      <w:r w:rsidR="00900357">
        <w:t>on behalf of</w:t>
      </w:r>
      <w:r w:rsidRPr="00605CEF">
        <w:t xml:space="preserve"> Head of Internal Audit</w:t>
      </w:r>
    </w:p>
    <w:p w14:paraId="7CF8A8F1" w14:textId="5FE7A254" w:rsidR="00166B73" w:rsidRPr="00605CEF" w:rsidRDefault="00166B73" w:rsidP="00166B73">
      <w:pPr>
        <w:pStyle w:val="Heading2"/>
        <w:spacing w:after="240"/>
      </w:pPr>
      <w:r w:rsidRPr="00605CEF">
        <w:t>Date:</w:t>
      </w:r>
      <w:r w:rsidR="00800A69" w:rsidRPr="00605CEF">
        <w:t xml:space="preserve"> </w:t>
      </w:r>
      <w:r w:rsidR="00900357">
        <w:t>29/11/22</w:t>
      </w:r>
    </w:p>
    <w:p w14:paraId="34A45030" w14:textId="77777777" w:rsidR="00166B73" w:rsidRPr="00421A1D" w:rsidRDefault="00166B73" w:rsidP="00166B73">
      <w:pPr>
        <w:pStyle w:val="Heading2"/>
        <w:spacing w:before="480" w:after="240"/>
      </w:pPr>
      <w:r w:rsidRPr="00421A1D">
        <w:t>Mandatory Checks</w:t>
      </w:r>
    </w:p>
    <w:p w14:paraId="1EA50314" w14:textId="7724211E" w:rsidR="00166B73" w:rsidRPr="00421A1D" w:rsidRDefault="00166B73" w:rsidP="00166B73">
      <w:pPr>
        <w:pStyle w:val="Heading3"/>
        <w:ind w:left="0" w:firstLine="0"/>
        <w:jc w:val="left"/>
      </w:pPr>
      <w:r w:rsidRPr="00421A1D">
        <w:t xml:space="preserve">Ward Councillors notified:   NO as it impacts on all Wards </w:t>
      </w:r>
    </w:p>
    <w:p w14:paraId="6B92AC5A" w14:textId="2B1418E8" w:rsidR="00166B73" w:rsidRPr="00421A1D" w:rsidRDefault="00166B73" w:rsidP="001143BC">
      <w:pPr>
        <w:pStyle w:val="Heading3"/>
        <w:spacing w:before="240"/>
      </w:pPr>
      <w:r w:rsidRPr="00421A1D">
        <w:t>EqIA carried out:  NO</w:t>
      </w:r>
    </w:p>
    <w:p w14:paraId="0A0F3F9E" w14:textId="77777777" w:rsidR="002548D1" w:rsidRPr="00B37833" w:rsidRDefault="002548D1" w:rsidP="00333FAA">
      <w:pPr>
        <w:rPr>
          <w:color w:val="FF0000"/>
        </w:rPr>
      </w:pPr>
    </w:p>
    <w:p w14:paraId="0608363E" w14:textId="77777777" w:rsidR="00333FAA" w:rsidRPr="00CC3A3C" w:rsidRDefault="00333FAA" w:rsidP="00333FAA">
      <w:pPr>
        <w:pStyle w:val="Heading1"/>
        <w:keepNext/>
      </w:pPr>
      <w:r w:rsidRPr="00CC3A3C">
        <w:t xml:space="preserve">Section </w:t>
      </w:r>
      <w:r w:rsidR="00A20113" w:rsidRPr="00CC3A3C">
        <w:t>4</w:t>
      </w:r>
      <w:r w:rsidRPr="00CC3A3C">
        <w:t xml:space="preserve"> - Contact Details and Background Papers</w:t>
      </w:r>
    </w:p>
    <w:p w14:paraId="04159197" w14:textId="77777777" w:rsidR="00333FAA" w:rsidRPr="00CC3A3C" w:rsidRDefault="00333FAA" w:rsidP="00333FAA">
      <w:pPr>
        <w:keepNext/>
        <w:rPr>
          <w:rFonts w:cs="Arial"/>
        </w:rPr>
      </w:pPr>
    </w:p>
    <w:p w14:paraId="02BC8A13" w14:textId="6D7B37AF" w:rsidR="00CA2FF3" w:rsidRPr="001143BC" w:rsidRDefault="00333FAA" w:rsidP="00CA2FF3">
      <w:pPr>
        <w:pStyle w:val="Infotext"/>
        <w:rPr>
          <w:bCs/>
        </w:rPr>
      </w:pPr>
      <w:r w:rsidRPr="00CC3A3C">
        <w:rPr>
          <w:b/>
        </w:rPr>
        <w:t xml:space="preserve">Contact:  </w:t>
      </w:r>
      <w:r w:rsidR="00CA2FF3" w:rsidRPr="001143BC">
        <w:rPr>
          <w:bCs/>
        </w:rPr>
        <w:t xml:space="preserve">Sharon </w:t>
      </w:r>
      <w:r w:rsidR="005C7899" w:rsidRPr="001143BC">
        <w:rPr>
          <w:bCs/>
        </w:rPr>
        <w:t>Daniels, Head</w:t>
      </w:r>
      <w:r w:rsidR="00CA2FF3" w:rsidRPr="001143BC">
        <w:rPr>
          <w:bCs/>
        </w:rPr>
        <w:t xml:space="preserve"> of Strategic and Technical Finance (Deputy S151), Telephone 020 8424 1332, Sharon </w:t>
      </w:r>
      <w:hyperlink r:id="rId17" w:history="1">
        <w:r w:rsidR="001143BC" w:rsidRPr="00DD4229">
          <w:rPr>
            <w:rStyle w:val="Hyperlink"/>
            <w:bCs/>
          </w:rPr>
          <w:t>Daniels@harrow.gov.uk</w:t>
        </w:r>
      </w:hyperlink>
      <w:r w:rsidR="001143BC">
        <w:rPr>
          <w:bCs/>
        </w:rPr>
        <w:t xml:space="preserve"> </w:t>
      </w:r>
    </w:p>
    <w:p w14:paraId="3331F7D0" w14:textId="77777777" w:rsidR="00A769AE" w:rsidRDefault="00A769AE" w:rsidP="00CC3A3C">
      <w:pPr>
        <w:pStyle w:val="Infotext"/>
        <w:spacing w:after="240"/>
        <w:rPr>
          <w:b/>
        </w:rPr>
      </w:pPr>
    </w:p>
    <w:p w14:paraId="1D63A09E" w14:textId="67B5595B" w:rsidR="00CC3A3C" w:rsidRDefault="00CC3A3C" w:rsidP="00CC3A3C">
      <w:pPr>
        <w:pStyle w:val="Infotext"/>
        <w:spacing w:after="240"/>
        <w:rPr>
          <w:b/>
        </w:rPr>
      </w:pPr>
      <w:r w:rsidRPr="004E47FC">
        <w:rPr>
          <w:b/>
        </w:rPr>
        <w:lastRenderedPageBreak/>
        <w:t xml:space="preserve">Background Papers: </w:t>
      </w:r>
      <w:r>
        <w:rPr>
          <w:b/>
        </w:rPr>
        <w:t xml:space="preserve"> </w:t>
      </w:r>
    </w:p>
    <w:p w14:paraId="6F756ABF" w14:textId="7F3DBAE9" w:rsidR="00AF06B3" w:rsidRPr="001143BC" w:rsidRDefault="00FE1AC6" w:rsidP="00CC3A3C">
      <w:pPr>
        <w:pStyle w:val="Infotext"/>
        <w:spacing w:after="240"/>
        <w:rPr>
          <w:bCs/>
        </w:rPr>
      </w:pPr>
      <w:hyperlink r:id="rId18" w:history="1">
        <w:r w:rsidR="00AF06B3" w:rsidRPr="001143BC">
          <w:rPr>
            <w:rStyle w:val="Hyperlink"/>
            <w:bCs/>
          </w:rPr>
          <w:t>Final Revenue Budget 2022/23 and Medium-Term Financial Strategy 2022/23 to 2024/25 Report</w:t>
        </w:r>
      </w:hyperlink>
      <w:r w:rsidR="00AF06B3" w:rsidRPr="001143BC">
        <w:rPr>
          <w:bCs/>
        </w:rPr>
        <w:t xml:space="preserve"> </w:t>
      </w:r>
    </w:p>
    <w:p w14:paraId="254EE70C" w14:textId="1A0A1FAB" w:rsidR="00CC3A3C" w:rsidRPr="00ED6776" w:rsidRDefault="00CC3A3C" w:rsidP="001143BC">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1143BC">
        <w:rPr>
          <w:rFonts w:ascii="Arial Black" w:hAnsi="Arial Black"/>
        </w:rPr>
        <w:t xml:space="preserve"> - </w:t>
      </w:r>
      <w:r w:rsidRPr="003D78F6">
        <w:rPr>
          <w:b/>
        </w:rPr>
        <w:t xml:space="preserve">NO </w:t>
      </w:r>
    </w:p>
    <w:p w14:paraId="315548C7" w14:textId="77777777" w:rsidR="00333FAA" w:rsidRPr="00B37833" w:rsidRDefault="00333FAA" w:rsidP="00333FAA">
      <w:pPr>
        <w:pStyle w:val="Infotext"/>
        <w:rPr>
          <w:b/>
          <w:color w:val="FF0000"/>
        </w:rPr>
      </w:pPr>
    </w:p>
    <w:p w14:paraId="095648BD" w14:textId="77777777" w:rsidR="000176F7" w:rsidRPr="00B37833" w:rsidRDefault="000176F7" w:rsidP="00AF66F2">
      <w:pPr>
        <w:jc w:val="both"/>
        <w:rPr>
          <w:color w:val="FF0000"/>
        </w:rPr>
      </w:pPr>
    </w:p>
    <w:p w14:paraId="6E3FA006" w14:textId="77777777" w:rsidR="00705694" w:rsidRPr="00B37833" w:rsidRDefault="00705694" w:rsidP="00AF66F2">
      <w:pPr>
        <w:jc w:val="both"/>
        <w:rPr>
          <w:b/>
          <w:color w:val="FF0000"/>
          <w:highlight w:val="yellow"/>
          <w:u w:val="single"/>
        </w:rPr>
      </w:pPr>
    </w:p>
    <w:p w14:paraId="6786392D" w14:textId="77777777" w:rsidR="00705694" w:rsidRPr="00B37833" w:rsidRDefault="00705694" w:rsidP="00AF66F2">
      <w:pPr>
        <w:jc w:val="both"/>
        <w:rPr>
          <w:b/>
          <w:color w:val="FF0000"/>
          <w:highlight w:val="yellow"/>
          <w:u w:val="single"/>
        </w:rPr>
      </w:pPr>
    </w:p>
    <w:p w14:paraId="581E2F9B" w14:textId="77777777" w:rsidR="00705694" w:rsidRPr="00B37833" w:rsidRDefault="00705694" w:rsidP="00AF66F2">
      <w:pPr>
        <w:jc w:val="both"/>
        <w:rPr>
          <w:b/>
          <w:color w:val="FF0000"/>
          <w:highlight w:val="yellow"/>
          <w:u w:val="single"/>
        </w:rPr>
      </w:pPr>
    </w:p>
    <w:p w14:paraId="5F5742C3" w14:textId="77777777" w:rsidR="00705694" w:rsidRPr="00B37833" w:rsidRDefault="00705694" w:rsidP="00AF66F2">
      <w:pPr>
        <w:jc w:val="both"/>
        <w:rPr>
          <w:b/>
          <w:color w:val="FF0000"/>
          <w:highlight w:val="yellow"/>
          <w:u w:val="single"/>
        </w:rPr>
      </w:pPr>
    </w:p>
    <w:p w14:paraId="414093E1" w14:textId="77777777" w:rsidR="00705694" w:rsidRPr="00B37833" w:rsidRDefault="00705694" w:rsidP="00AF66F2">
      <w:pPr>
        <w:jc w:val="both"/>
        <w:rPr>
          <w:b/>
          <w:color w:val="FF0000"/>
          <w:highlight w:val="yellow"/>
          <w:u w:val="single"/>
        </w:rPr>
      </w:pPr>
    </w:p>
    <w:p w14:paraId="7789718F" w14:textId="77777777" w:rsidR="00705694" w:rsidRPr="00B37833" w:rsidRDefault="00705694" w:rsidP="00AF66F2">
      <w:pPr>
        <w:jc w:val="both"/>
        <w:rPr>
          <w:b/>
          <w:color w:val="FF0000"/>
          <w:highlight w:val="yellow"/>
          <w:u w:val="single"/>
        </w:rPr>
      </w:pPr>
    </w:p>
    <w:p w14:paraId="33736D9C" w14:textId="77777777" w:rsidR="00705694" w:rsidRPr="00B37833" w:rsidRDefault="00705694" w:rsidP="00AF66F2">
      <w:pPr>
        <w:jc w:val="both"/>
        <w:rPr>
          <w:b/>
          <w:color w:val="FF0000"/>
          <w:highlight w:val="yellow"/>
          <w:u w:val="single"/>
        </w:rPr>
      </w:pPr>
    </w:p>
    <w:p w14:paraId="445044AE" w14:textId="77777777" w:rsidR="00705694" w:rsidRPr="00B37833" w:rsidRDefault="00705694" w:rsidP="00AF66F2">
      <w:pPr>
        <w:jc w:val="both"/>
        <w:rPr>
          <w:b/>
          <w:color w:val="FF0000"/>
          <w:highlight w:val="yellow"/>
          <w:u w:val="single"/>
        </w:rPr>
      </w:pPr>
    </w:p>
    <w:p w14:paraId="49B2F127" w14:textId="1B492586" w:rsidR="000D4E36" w:rsidRPr="00B37833" w:rsidRDefault="000D4E36" w:rsidP="00AF66F2">
      <w:pPr>
        <w:jc w:val="both"/>
        <w:rPr>
          <w:color w:val="FF0000"/>
        </w:rPr>
      </w:pPr>
    </w:p>
    <w:sectPr w:rsidR="000D4E36" w:rsidRPr="00B37833" w:rsidSect="003C7F2F">
      <w:headerReference w:type="default" r:id="rId19"/>
      <w:footerReference w:type="default" r:id="rId2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F5CD" w14:textId="77777777" w:rsidR="005D1273" w:rsidRDefault="005D1273">
      <w:r>
        <w:separator/>
      </w:r>
    </w:p>
  </w:endnote>
  <w:endnote w:type="continuationSeparator" w:id="0">
    <w:p w14:paraId="6B539B3D" w14:textId="77777777" w:rsidR="005D1273" w:rsidRDefault="005D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5300D022" w:rsidR="00FB687E" w:rsidRDefault="00FE1AC6">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44C" w14:textId="77777777" w:rsidR="005D1273" w:rsidRDefault="005D1273">
      <w:r>
        <w:separator/>
      </w:r>
    </w:p>
  </w:footnote>
  <w:footnote w:type="continuationSeparator" w:id="0">
    <w:p w14:paraId="6651ED34" w14:textId="77777777" w:rsidR="005D1273" w:rsidRDefault="005D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C36E0F"/>
    <w:multiLevelType w:val="hybridMultilevel"/>
    <w:tmpl w:val="F65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8"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0" w15:restartNumberingAfterBreak="0">
    <w:nsid w:val="3ED4181B"/>
    <w:multiLevelType w:val="hybridMultilevel"/>
    <w:tmpl w:val="DC0408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3"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57757E"/>
    <w:multiLevelType w:val="multilevel"/>
    <w:tmpl w:val="DF3A3FEE"/>
    <w:lvl w:ilvl="0">
      <w:start w:val="3"/>
      <w:numFmt w:val="decimal"/>
      <w:lvlText w:val="%1"/>
      <w:lvlJc w:val="left"/>
      <w:pPr>
        <w:ind w:left="460" w:hanging="460"/>
      </w:pPr>
    </w:lvl>
    <w:lvl w:ilvl="1">
      <w:start w:val="20"/>
      <w:numFmt w:val="decimal"/>
      <w:lvlText w:val="%1.%2"/>
      <w:lvlJc w:val="left"/>
      <w:pPr>
        <w:ind w:left="460" w:hanging="460"/>
      </w:pPr>
      <w:rPr>
        <w:b w:val="0"/>
        <w:bCs/>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625DC"/>
    <w:multiLevelType w:val="hybridMultilevel"/>
    <w:tmpl w:val="95CA00F6"/>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66A2A"/>
    <w:multiLevelType w:val="hybridMultilevel"/>
    <w:tmpl w:val="44783248"/>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0D52A5"/>
    <w:multiLevelType w:val="hybridMultilevel"/>
    <w:tmpl w:val="8154EB26"/>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BAF555F"/>
    <w:multiLevelType w:val="multilevel"/>
    <w:tmpl w:val="454E3C5A"/>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6057744"/>
    <w:multiLevelType w:val="hybridMultilevel"/>
    <w:tmpl w:val="7298C0AA"/>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FA50D9"/>
    <w:multiLevelType w:val="hybridMultilevel"/>
    <w:tmpl w:val="DCC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1"/>
  </w:num>
  <w:num w:numId="3">
    <w:abstractNumId w:val="7"/>
  </w:num>
  <w:num w:numId="4">
    <w:abstractNumId w:val="18"/>
  </w:num>
  <w:num w:numId="5">
    <w:abstractNumId w:val="12"/>
  </w:num>
  <w:num w:numId="6">
    <w:abstractNumId w:val="19"/>
  </w:num>
  <w:num w:numId="7">
    <w:abstractNumId w:val="8"/>
  </w:num>
  <w:num w:numId="8">
    <w:abstractNumId w:val="29"/>
  </w:num>
  <w:num w:numId="9">
    <w:abstractNumId w:val="24"/>
  </w:num>
  <w:num w:numId="10">
    <w:abstractNumId w:val="9"/>
  </w:num>
  <w:num w:numId="11">
    <w:abstractNumId w:val="2"/>
  </w:num>
  <w:num w:numId="12">
    <w:abstractNumId w:val="15"/>
  </w:num>
  <w:num w:numId="13">
    <w:abstractNumId w:val="13"/>
  </w:num>
  <w:num w:numId="14">
    <w:abstractNumId w:val="11"/>
  </w:num>
  <w:num w:numId="15">
    <w:abstractNumId w:val="16"/>
  </w:num>
  <w:num w:numId="16">
    <w:abstractNumId w:val="23"/>
  </w:num>
  <w:num w:numId="17">
    <w:abstractNumId w:val="20"/>
  </w:num>
  <w:num w:numId="18">
    <w:abstractNumId w:val="27"/>
  </w:num>
  <w:num w:numId="19">
    <w:abstractNumId w:val="14"/>
  </w:num>
  <w:num w:numId="20">
    <w:abstractNumId w:val="26"/>
  </w:num>
  <w:num w:numId="21">
    <w:abstractNumId w:val="17"/>
  </w:num>
  <w:num w:numId="22">
    <w:abstractNumId w:val="6"/>
  </w:num>
  <w:num w:numId="23">
    <w:abstractNumId w:val="4"/>
  </w:num>
  <w:num w:numId="24">
    <w:abstractNumId w:val="5"/>
  </w:num>
  <w:num w:numId="25">
    <w:abstractNumId w:val="3"/>
  </w:num>
  <w:num w:numId="26">
    <w:abstractNumId w:val="0"/>
  </w:num>
  <w:num w:numId="27">
    <w:abstractNumId w:val="28"/>
  </w:num>
  <w:num w:numId="28">
    <w:abstractNumId w:val="10"/>
  </w:num>
  <w:num w:numId="29">
    <w:abstractNumId w:val="22"/>
  </w:num>
  <w:num w:numId="3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13A"/>
    <w:rsid w:val="00004286"/>
    <w:rsid w:val="000058C5"/>
    <w:rsid w:val="00005F26"/>
    <w:rsid w:val="00007FDF"/>
    <w:rsid w:val="00012042"/>
    <w:rsid w:val="00012758"/>
    <w:rsid w:val="00013D39"/>
    <w:rsid w:val="000142E6"/>
    <w:rsid w:val="0001555A"/>
    <w:rsid w:val="000176F7"/>
    <w:rsid w:val="00021610"/>
    <w:rsid w:val="00021CD0"/>
    <w:rsid w:val="0002245A"/>
    <w:rsid w:val="00022532"/>
    <w:rsid w:val="00024A5C"/>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5698E"/>
    <w:rsid w:val="0006034E"/>
    <w:rsid w:val="00061479"/>
    <w:rsid w:val="000626B0"/>
    <w:rsid w:val="00063321"/>
    <w:rsid w:val="00063783"/>
    <w:rsid w:val="00063D00"/>
    <w:rsid w:val="000645AE"/>
    <w:rsid w:val="00066267"/>
    <w:rsid w:val="00070FDB"/>
    <w:rsid w:val="00071D3E"/>
    <w:rsid w:val="00072CAD"/>
    <w:rsid w:val="00072D88"/>
    <w:rsid w:val="000735B3"/>
    <w:rsid w:val="00073765"/>
    <w:rsid w:val="00073986"/>
    <w:rsid w:val="00074AE3"/>
    <w:rsid w:val="0007562B"/>
    <w:rsid w:val="00075ABD"/>
    <w:rsid w:val="00076BFB"/>
    <w:rsid w:val="00076D24"/>
    <w:rsid w:val="000800ED"/>
    <w:rsid w:val="00082F83"/>
    <w:rsid w:val="00083283"/>
    <w:rsid w:val="000860A6"/>
    <w:rsid w:val="0008678F"/>
    <w:rsid w:val="00087368"/>
    <w:rsid w:val="00091547"/>
    <w:rsid w:val="000929A6"/>
    <w:rsid w:val="00094111"/>
    <w:rsid w:val="000942BF"/>
    <w:rsid w:val="00096A83"/>
    <w:rsid w:val="000A2CB3"/>
    <w:rsid w:val="000A2CD5"/>
    <w:rsid w:val="000A3FE2"/>
    <w:rsid w:val="000B02BB"/>
    <w:rsid w:val="000B1936"/>
    <w:rsid w:val="000B1FC8"/>
    <w:rsid w:val="000B22FE"/>
    <w:rsid w:val="000B2B9F"/>
    <w:rsid w:val="000B5015"/>
    <w:rsid w:val="000B5B51"/>
    <w:rsid w:val="000B788F"/>
    <w:rsid w:val="000C0031"/>
    <w:rsid w:val="000C14C0"/>
    <w:rsid w:val="000C1F7B"/>
    <w:rsid w:val="000C2074"/>
    <w:rsid w:val="000C292F"/>
    <w:rsid w:val="000C2B5C"/>
    <w:rsid w:val="000C4E42"/>
    <w:rsid w:val="000C634B"/>
    <w:rsid w:val="000D0977"/>
    <w:rsid w:val="000D194E"/>
    <w:rsid w:val="000D3E5A"/>
    <w:rsid w:val="000D4E36"/>
    <w:rsid w:val="000D66AA"/>
    <w:rsid w:val="000D6CA4"/>
    <w:rsid w:val="000E2CBE"/>
    <w:rsid w:val="000E543F"/>
    <w:rsid w:val="000E62FE"/>
    <w:rsid w:val="000F18E7"/>
    <w:rsid w:val="000F1E8A"/>
    <w:rsid w:val="000F2441"/>
    <w:rsid w:val="000F31C9"/>
    <w:rsid w:val="000F39CA"/>
    <w:rsid w:val="000F601E"/>
    <w:rsid w:val="000F67D8"/>
    <w:rsid w:val="00101FE5"/>
    <w:rsid w:val="001025AD"/>
    <w:rsid w:val="0010279C"/>
    <w:rsid w:val="0010385F"/>
    <w:rsid w:val="00104F2B"/>
    <w:rsid w:val="00105767"/>
    <w:rsid w:val="00106C08"/>
    <w:rsid w:val="0011306A"/>
    <w:rsid w:val="001143BC"/>
    <w:rsid w:val="001161E4"/>
    <w:rsid w:val="00116B3F"/>
    <w:rsid w:val="001244A9"/>
    <w:rsid w:val="00125A26"/>
    <w:rsid w:val="00125E91"/>
    <w:rsid w:val="0012610A"/>
    <w:rsid w:val="00126534"/>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60D1"/>
    <w:rsid w:val="001570EB"/>
    <w:rsid w:val="00157B60"/>
    <w:rsid w:val="001614E0"/>
    <w:rsid w:val="001619BF"/>
    <w:rsid w:val="00161FB7"/>
    <w:rsid w:val="00162CDA"/>
    <w:rsid w:val="0016302D"/>
    <w:rsid w:val="0016506B"/>
    <w:rsid w:val="00166170"/>
    <w:rsid w:val="00166B73"/>
    <w:rsid w:val="00167048"/>
    <w:rsid w:val="00167715"/>
    <w:rsid w:val="00167F0A"/>
    <w:rsid w:val="00171BD8"/>
    <w:rsid w:val="00174142"/>
    <w:rsid w:val="0017653E"/>
    <w:rsid w:val="001808A0"/>
    <w:rsid w:val="00180CCF"/>
    <w:rsid w:val="00181FFD"/>
    <w:rsid w:val="0018254B"/>
    <w:rsid w:val="00182B01"/>
    <w:rsid w:val="001840D2"/>
    <w:rsid w:val="0018435A"/>
    <w:rsid w:val="00184EED"/>
    <w:rsid w:val="001859C2"/>
    <w:rsid w:val="00187F3F"/>
    <w:rsid w:val="00190CC7"/>
    <w:rsid w:val="00191487"/>
    <w:rsid w:val="00192824"/>
    <w:rsid w:val="00193CDA"/>
    <w:rsid w:val="001966D7"/>
    <w:rsid w:val="0019702E"/>
    <w:rsid w:val="001A0FF1"/>
    <w:rsid w:val="001A4359"/>
    <w:rsid w:val="001A4915"/>
    <w:rsid w:val="001A4ABA"/>
    <w:rsid w:val="001A6DAD"/>
    <w:rsid w:val="001A7591"/>
    <w:rsid w:val="001B0EBB"/>
    <w:rsid w:val="001B1846"/>
    <w:rsid w:val="001B3CD4"/>
    <w:rsid w:val="001B5082"/>
    <w:rsid w:val="001B7238"/>
    <w:rsid w:val="001C2ADC"/>
    <w:rsid w:val="001C4034"/>
    <w:rsid w:val="001C4D2E"/>
    <w:rsid w:val="001C50CB"/>
    <w:rsid w:val="001C512F"/>
    <w:rsid w:val="001C5207"/>
    <w:rsid w:val="001C67AC"/>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00B9"/>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59BE"/>
    <w:rsid w:val="0022747D"/>
    <w:rsid w:val="00231850"/>
    <w:rsid w:val="002322BB"/>
    <w:rsid w:val="00233A07"/>
    <w:rsid w:val="00234E3A"/>
    <w:rsid w:val="0023702C"/>
    <w:rsid w:val="00237943"/>
    <w:rsid w:val="00237FEA"/>
    <w:rsid w:val="00241CC8"/>
    <w:rsid w:val="00245400"/>
    <w:rsid w:val="00246B9B"/>
    <w:rsid w:val="00250FEF"/>
    <w:rsid w:val="00251254"/>
    <w:rsid w:val="00253051"/>
    <w:rsid w:val="002543B8"/>
    <w:rsid w:val="002548D1"/>
    <w:rsid w:val="00255B51"/>
    <w:rsid w:val="0026056F"/>
    <w:rsid w:val="00260955"/>
    <w:rsid w:val="0026277B"/>
    <w:rsid w:val="002656C8"/>
    <w:rsid w:val="00271F91"/>
    <w:rsid w:val="0027283B"/>
    <w:rsid w:val="00273559"/>
    <w:rsid w:val="00274392"/>
    <w:rsid w:val="0028019B"/>
    <w:rsid w:val="00283CAB"/>
    <w:rsid w:val="00286C92"/>
    <w:rsid w:val="00287370"/>
    <w:rsid w:val="0028772B"/>
    <w:rsid w:val="00287A95"/>
    <w:rsid w:val="00290F2F"/>
    <w:rsid w:val="0029107D"/>
    <w:rsid w:val="00291123"/>
    <w:rsid w:val="00291911"/>
    <w:rsid w:val="00292AEE"/>
    <w:rsid w:val="00293255"/>
    <w:rsid w:val="002943AC"/>
    <w:rsid w:val="00294AE9"/>
    <w:rsid w:val="002A0238"/>
    <w:rsid w:val="002A2400"/>
    <w:rsid w:val="002A2602"/>
    <w:rsid w:val="002A3FEF"/>
    <w:rsid w:val="002A4F0E"/>
    <w:rsid w:val="002A75E8"/>
    <w:rsid w:val="002B1444"/>
    <w:rsid w:val="002B1705"/>
    <w:rsid w:val="002B36BB"/>
    <w:rsid w:val="002B48A0"/>
    <w:rsid w:val="002B4A5D"/>
    <w:rsid w:val="002B54A6"/>
    <w:rsid w:val="002B67CC"/>
    <w:rsid w:val="002C4D4D"/>
    <w:rsid w:val="002C5BD7"/>
    <w:rsid w:val="002C7234"/>
    <w:rsid w:val="002C795A"/>
    <w:rsid w:val="002D0036"/>
    <w:rsid w:val="002D1874"/>
    <w:rsid w:val="002D255B"/>
    <w:rsid w:val="002D275F"/>
    <w:rsid w:val="002D48BB"/>
    <w:rsid w:val="002D4934"/>
    <w:rsid w:val="002D522E"/>
    <w:rsid w:val="002D791C"/>
    <w:rsid w:val="002E0F2C"/>
    <w:rsid w:val="002E1088"/>
    <w:rsid w:val="002E12CA"/>
    <w:rsid w:val="002E1DF4"/>
    <w:rsid w:val="002E1E8D"/>
    <w:rsid w:val="002E3DD5"/>
    <w:rsid w:val="002E629A"/>
    <w:rsid w:val="002E6C2F"/>
    <w:rsid w:val="002E74FA"/>
    <w:rsid w:val="002F388E"/>
    <w:rsid w:val="002F3EE9"/>
    <w:rsid w:val="002F4605"/>
    <w:rsid w:val="002F500F"/>
    <w:rsid w:val="002F6F08"/>
    <w:rsid w:val="002F6F40"/>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068"/>
    <w:rsid w:val="00333BDE"/>
    <w:rsid w:val="00333FAA"/>
    <w:rsid w:val="003355D7"/>
    <w:rsid w:val="0033656D"/>
    <w:rsid w:val="00337D78"/>
    <w:rsid w:val="00340394"/>
    <w:rsid w:val="00340517"/>
    <w:rsid w:val="0034115E"/>
    <w:rsid w:val="00343D58"/>
    <w:rsid w:val="00345287"/>
    <w:rsid w:val="00345876"/>
    <w:rsid w:val="003465B3"/>
    <w:rsid w:val="00346EEB"/>
    <w:rsid w:val="003472CA"/>
    <w:rsid w:val="003521BC"/>
    <w:rsid w:val="0035290A"/>
    <w:rsid w:val="00353DC3"/>
    <w:rsid w:val="0035555F"/>
    <w:rsid w:val="0035780C"/>
    <w:rsid w:val="0036201C"/>
    <w:rsid w:val="003625E3"/>
    <w:rsid w:val="003634DA"/>
    <w:rsid w:val="003639E3"/>
    <w:rsid w:val="0036495E"/>
    <w:rsid w:val="003663FE"/>
    <w:rsid w:val="00366E76"/>
    <w:rsid w:val="003678C0"/>
    <w:rsid w:val="00367FA9"/>
    <w:rsid w:val="00372313"/>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A742D"/>
    <w:rsid w:val="003B0005"/>
    <w:rsid w:val="003B07A5"/>
    <w:rsid w:val="003B0B81"/>
    <w:rsid w:val="003B2B91"/>
    <w:rsid w:val="003B3385"/>
    <w:rsid w:val="003B3BC2"/>
    <w:rsid w:val="003B40B3"/>
    <w:rsid w:val="003B445A"/>
    <w:rsid w:val="003C21F4"/>
    <w:rsid w:val="003C315C"/>
    <w:rsid w:val="003C4532"/>
    <w:rsid w:val="003C68E4"/>
    <w:rsid w:val="003C7A65"/>
    <w:rsid w:val="003C7F2F"/>
    <w:rsid w:val="003D275F"/>
    <w:rsid w:val="003D291D"/>
    <w:rsid w:val="003D2E0C"/>
    <w:rsid w:val="003D3DFD"/>
    <w:rsid w:val="003D3E21"/>
    <w:rsid w:val="003D4346"/>
    <w:rsid w:val="003D56ED"/>
    <w:rsid w:val="003D7AB8"/>
    <w:rsid w:val="003E2127"/>
    <w:rsid w:val="003E3ABA"/>
    <w:rsid w:val="003E498C"/>
    <w:rsid w:val="003E56AE"/>
    <w:rsid w:val="003F131B"/>
    <w:rsid w:val="003F2777"/>
    <w:rsid w:val="003F2C5D"/>
    <w:rsid w:val="003F3AFD"/>
    <w:rsid w:val="003F756D"/>
    <w:rsid w:val="003F77BB"/>
    <w:rsid w:val="00400629"/>
    <w:rsid w:val="004029CC"/>
    <w:rsid w:val="00403304"/>
    <w:rsid w:val="004052E3"/>
    <w:rsid w:val="004076C8"/>
    <w:rsid w:val="00411336"/>
    <w:rsid w:val="004128EA"/>
    <w:rsid w:val="00413458"/>
    <w:rsid w:val="004147C5"/>
    <w:rsid w:val="004153B6"/>
    <w:rsid w:val="00415CC1"/>
    <w:rsid w:val="00417510"/>
    <w:rsid w:val="004177DA"/>
    <w:rsid w:val="004207E3"/>
    <w:rsid w:val="00421A1D"/>
    <w:rsid w:val="00421A4C"/>
    <w:rsid w:val="0042308A"/>
    <w:rsid w:val="004238C2"/>
    <w:rsid w:val="0042469F"/>
    <w:rsid w:val="004270A6"/>
    <w:rsid w:val="00427B10"/>
    <w:rsid w:val="004325F9"/>
    <w:rsid w:val="0043268A"/>
    <w:rsid w:val="00433A35"/>
    <w:rsid w:val="00435B5D"/>
    <w:rsid w:val="004363F7"/>
    <w:rsid w:val="00436A0B"/>
    <w:rsid w:val="00440868"/>
    <w:rsid w:val="004409DB"/>
    <w:rsid w:val="0044525C"/>
    <w:rsid w:val="0044683D"/>
    <w:rsid w:val="00447352"/>
    <w:rsid w:val="00452CAC"/>
    <w:rsid w:val="0045387F"/>
    <w:rsid w:val="004553F1"/>
    <w:rsid w:val="0045548A"/>
    <w:rsid w:val="004558FE"/>
    <w:rsid w:val="0045655D"/>
    <w:rsid w:val="00460592"/>
    <w:rsid w:val="00466197"/>
    <w:rsid w:val="00467517"/>
    <w:rsid w:val="00471C1F"/>
    <w:rsid w:val="00472810"/>
    <w:rsid w:val="00475834"/>
    <w:rsid w:val="004809FA"/>
    <w:rsid w:val="00481735"/>
    <w:rsid w:val="0048175C"/>
    <w:rsid w:val="00482AE7"/>
    <w:rsid w:val="004863F0"/>
    <w:rsid w:val="00487CDB"/>
    <w:rsid w:val="00492B67"/>
    <w:rsid w:val="0049471D"/>
    <w:rsid w:val="00494906"/>
    <w:rsid w:val="00495315"/>
    <w:rsid w:val="004962B1"/>
    <w:rsid w:val="00496F06"/>
    <w:rsid w:val="004A1570"/>
    <w:rsid w:val="004A1914"/>
    <w:rsid w:val="004A1E2D"/>
    <w:rsid w:val="004A72AA"/>
    <w:rsid w:val="004B20F6"/>
    <w:rsid w:val="004B2834"/>
    <w:rsid w:val="004B4A22"/>
    <w:rsid w:val="004C0103"/>
    <w:rsid w:val="004C08EA"/>
    <w:rsid w:val="004C4A75"/>
    <w:rsid w:val="004C5ADB"/>
    <w:rsid w:val="004C5DDA"/>
    <w:rsid w:val="004D2DA0"/>
    <w:rsid w:val="004D3E97"/>
    <w:rsid w:val="004D700A"/>
    <w:rsid w:val="004E14A4"/>
    <w:rsid w:val="004E16FA"/>
    <w:rsid w:val="004E3365"/>
    <w:rsid w:val="004E537F"/>
    <w:rsid w:val="004E6609"/>
    <w:rsid w:val="004E719D"/>
    <w:rsid w:val="004E7D57"/>
    <w:rsid w:val="004F0BF8"/>
    <w:rsid w:val="004F19F0"/>
    <w:rsid w:val="004F22E9"/>
    <w:rsid w:val="004F54BD"/>
    <w:rsid w:val="004F56C5"/>
    <w:rsid w:val="004F6F3C"/>
    <w:rsid w:val="004F7439"/>
    <w:rsid w:val="005002A9"/>
    <w:rsid w:val="00501E74"/>
    <w:rsid w:val="00503384"/>
    <w:rsid w:val="005041C2"/>
    <w:rsid w:val="005054F7"/>
    <w:rsid w:val="00505E6A"/>
    <w:rsid w:val="005071D3"/>
    <w:rsid w:val="005078C2"/>
    <w:rsid w:val="0051010C"/>
    <w:rsid w:val="00510718"/>
    <w:rsid w:val="005129D2"/>
    <w:rsid w:val="00513EC1"/>
    <w:rsid w:val="00514C91"/>
    <w:rsid w:val="00516573"/>
    <w:rsid w:val="005178DB"/>
    <w:rsid w:val="00517C7D"/>
    <w:rsid w:val="005223FE"/>
    <w:rsid w:val="00522D5D"/>
    <w:rsid w:val="0052515D"/>
    <w:rsid w:val="00525C08"/>
    <w:rsid w:val="005262CD"/>
    <w:rsid w:val="00526AA6"/>
    <w:rsid w:val="00531CAE"/>
    <w:rsid w:val="005354D0"/>
    <w:rsid w:val="00535922"/>
    <w:rsid w:val="00535A36"/>
    <w:rsid w:val="00537469"/>
    <w:rsid w:val="0054172C"/>
    <w:rsid w:val="00542808"/>
    <w:rsid w:val="0054323D"/>
    <w:rsid w:val="00543B07"/>
    <w:rsid w:val="00543BE2"/>
    <w:rsid w:val="0054590F"/>
    <w:rsid w:val="005459EC"/>
    <w:rsid w:val="00546EA2"/>
    <w:rsid w:val="005475D3"/>
    <w:rsid w:val="00547729"/>
    <w:rsid w:val="00550E7A"/>
    <w:rsid w:val="00552794"/>
    <w:rsid w:val="00555A6E"/>
    <w:rsid w:val="0055673A"/>
    <w:rsid w:val="0055724E"/>
    <w:rsid w:val="0055733D"/>
    <w:rsid w:val="005576B4"/>
    <w:rsid w:val="00560DEF"/>
    <w:rsid w:val="00562685"/>
    <w:rsid w:val="0056292F"/>
    <w:rsid w:val="0056344D"/>
    <w:rsid w:val="00563F4C"/>
    <w:rsid w:val="005641E0"/>
    <w:rsid w:val="00566489"/>
    <w:rsid w:val="00566F47"/>
    <w:rsid w:val="005709FA"/>
    <w:rsid w:val="005716B1"/>
    <w:rsid w:val="005718B5"/>
    <w:rsid w:val="00571FB4"/>
    <w:rsid w:val="0057297F"/>
    <w:rsid w:val="00573FF1"/>
    <w:rsid w:val="00574596"/>
    <w:rsid w:val="00574F6C"/>
    <w:rsid w:val="005773C2"/>
    <w:rsid w:val="005777E4"/>
    <w:rsid w:val="005808FB"/>
    <w:rsid w:val="00581486"/>
    <w:rsid w:val="00582605"/>
    <w:rsid w:val="00582A5C"/>
    <w:rsid w:val="00584430"/>
    <w:rsid w:val="005849F4"/>
    <w:rsid w:val="005854AF"/>
    <w:rsid w:val="0058600A"/>
    <w:rsid w:val="00590489"/>
    <w:rsid w:val="00591016"/>
    <w:rsid w:val="005933AB"/>
    <w:rsid w:val="00593F3C"/>
    <w:rsid w:val="005A045F"/>
    <w:rsid w:val="005A0F94"/>
    <w:rsid w:val="005A4F77"/>
    <w:rsid w:val="005A639A"/>
    <w:rsid w:val="005B0A85"/>
    <w:rsid w:val="005B0B45"/>
    <w:rsid w:val="005B3414"/>
    <w:rsid w:val="005B3F67"/>
    <w:rsid w:val="005B4496"/>
    <w:rsid w:val="005B587A"/>
    <w:rsid w:val="005B6114"/>
    <w:rsid w:val="005B6656"/>
    <w:rsid w:val="005B6671"/>
    <w:rsid w:val="005C1709"/>
    <w:rsid w:val="005C295F"/>
    <w:rsid w:val="005C7899"/>
    <w:rsid w:val="005D0571"/>
    <w:rsid w:val="005D1273"/>
    <w:rsid w:val="005D3E95"/>
    <w:rsid w:val="005D40CF"/>
    <w:rsid w:val="005D45AE"/>
    <w:rsid w:val="005D4911"/>
    <w:rsid w:val="005D548F"/>
    <w:rsid w:val="005D55FF"/>
    <w:rsid w:val="005D6161"/>
    <w:rsid w:val="005D6D14"/>
    <w:rsid w:val="005D6EF5"/>
    <w:rsid w:val="005D73B5"/>
    <w:rsid w:val="005E2FCC"/>
    <w:rsid w:val="005E3A10"/>
    <w:rsid w:val="005E4BA2"/>
    <w:rsid w:val="005E6695"/>
    <w:rsid w:val="005E717F"/>
    <w:rsid w:val="005E7509"/>
    <w:rsid w:val="005F00A6"/>
    <w:rsid w:val="005F1E92"/>
    <w:rsid w:val="005F499E"/>
    <w:rsid w:val="006037BB"/>
    <w:rsid w:val="00603BA2"/>
    <w:rsid w:val="00604E7A"/>
    <w:rsid w:val="00604F47"/>
    <w:rsid w:val="00605CEF"/>
    <w:rsid w:val="00605ED6"/>
    <w:rsid w:val="006071D6"/>
    <w:rsid w:val="00607E22"/>
    <w:rsid w:val="006102CA"/>
    <w:rsid w:val="00613DAE"/>
    <w:rsid w:val="0061781A"/>
    <w:rsid w:val="0061783E"/>
    <w:rsid w:val="006226AE"/>
    <w:rsid w:val="00622798"/>
    <w:rsid w:val="006230CB"/>
    <w:rsid w:val="006238A9"/>
    <w:rsid w:val="006246C9"/>
    <w:rsid w:val="00626B92"/>
    <w:rsid w:val="00627E6E"/>
    <w:rsid w:val="006322FF"/>
    <w:rsid w:val="00633771"/>
    <w:rsid w:val="006337F6"/>
    <w:rsid w:val="00635966"/>
    <w:rsid w:val="00636159"/>
    <w:rsid w:val="00636DE4"/>
    <w:rsid w:val="00640148"/>
    <w:rsid w:val="00641828"/>
    <w:rsid w:val="00641EF9"/>
    <w:rsid w:val="006424FA"/>
    <w:rsid w:val="00643710"/>
    <w:rsid w:val="0064455D"/>
    <w:rsid w:val="00645B8B"/>
    <w:rsid w:val="00647599"/>
    <w:rsid w:val="006476B6"/>
    <w:rsid w:val="00650E15"/>
    <w:rsid w:val="006530E4"/>
    <w:rsid w:val="00654ABC"/>
    <w:rsid w:val="00655044"/>
    <w:rsid w:val="00656D22"/>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091A"/>
    <w:rsid w:val="006A200B"/>
    <w:rsid w:val="006A27CD"/>
    <w:rsid w:val="006A34C3"/>
    <w:rsid w:val="006A506A"/>
    <w:rsid w:val="006A5955"/>
    <w:rsid w:val="006A7467"/>
    <w:rsid w:val="006B0184"/>
    <w:rsid w:val="006B1286"/>
    <w:rsid w:val="006B3297"/>
    <w:rsid w:val="006B6BC5"/>
    <w:rsid w:val="006B7DEF"/>
    <w:rsid w:val="006B7F6A"/>
    <w:rsid w:val="006C059A"/>
    <w:rsid w:val="006C4484"/>
    <w:rsid w:val="006C5584"/>
    <w:rsid w:val="006C580A"/>
    <w:rsid w:val="006C5ED7"/>
    <w:rsid w:val="006C6B72"/>
    <w:rsid w:val="006D1E69"/>
    <w:rsid w:val="006D376F"/>
    <w:rsid w:val="006D3BD9"/>
    <w:rsid w:val="006D627B"/>
    <w:rsid w:val="006D67FB"/>
    <w:rsid w:val="006E20C9"/>
    <w:rsid w:val="006E4E0C"/>
    <w:rsid w:val="006E608B"/>
    <w:rsid w:val="006E61F6"/>
    <w:rsid w:val="006F057C"/>
    <w:rsid w:val="006F1A4C"/>
    <w:rsid w:val="006F22DA"/>
    <w:rsid w:val="006F2EB3"/>
    <w:rsid w:val="006F3BB5"/>
    <w:rsid w:val="006F61E1"/>
    <w:rsid w:val="006F6988"/>
    <w:rsid w:val="00703AC2"/>
    <w:rsid w:val="00703EAC"/>
    <w:rsid w:val="00705694"/>
    <w:rsid w:val="00707EA4"/>
    <w:rsid w:val="00707F54"/>
    <w:rsid w:val="00710E25"/>
    <w:rsid w:val="007116B1"/>
    <w:rsid w:val="007123C2"/>
    <w:rsid w:val="007128B7"/>
    <w:rsid w:val="00714BEE"/>
    <w:rsid w:val="007150B2"/>
    <w:rsid w:val="007163A8"/>
    <w:rsid w:val="00720AC6"/>
    <w:rsid w:val="00721215"/>
    <w:rsid w:val="00721F9F"/>
    <w:rsid w:val="0072367F"/>
    <w:rsid w:val="00723BA5"/>
    <w:rsid w:val="00725DAB"/>
    <w:rsid w:val="00731669"/>
    <w:rsid w:val="007323B9"/>
    <w:rsid w:val="0073378D"/>
    <w:rsid w:val="007347CA"/>
    <w:rsid w:val="00735479"/>
    <w:rsid w:val="00735827"/>
    <w:rsid w:val="0073664B"/>
    <w:rsid w:val="007372EA"/>
    <w:rsid w:val="007373F9"/>
    <w:rsid w:val="007400CF"/>
    <w:rsid w:val="00745F89"/>
    <w:rsid w:val="007464E7"/>
    <w:rsid w:val="00747A26"/>
    <w:rsid w:val="00747AAF"/>
    <w:rsid w:val="007518BE"/>
    <w:rsid w:val="00751C64"/>
    <w:rsid w:val="007529DD"/>
    <w:rsid w:val="00752C7F"/>
    <w:rsid w:val="00753668"/>
    <w:rsid w:val="00754BFA"/>
    <w:rsid w:val="00755704"/>
    <w:rsid w:val="00755B7D"/>
    <w:rsid w:val="007566B2"/>
    <w:rsid w:val="007567D8"/>
    <w:rsid w:val="0076086B"/>
    <w:rsid w:val="007608E1"/>
    <w:rsid w:val="007647E7"/>
    <w:rsid w:val="00767501"/>
    <w:rsid w:val="007675BE"/>
    <w:rsid w:val="00773028"/>
    <w:rsid w:val="00782198"/>
    <w:rsid w:val="007833B6"/>
    <w:rsid w:val="00783B26"/>
    <w:rsid w:val="00786C4E"/>
    <w:rsid w:val="00787709"/>
    <w:rsid w:val="00790171"/>
    <w:rsid w:val="00790DE7"/>
    <w:rsid w:val="00790FC2"/>
    <w:rsid w:val="00791520"/>
    <w:rsid w:val="007919FF"/>
    <w:rsid w:val="007935C5"/>
    <w:rsid w:val="00795096"/>
    <w:rsid w:val="00795B93"/>
    <w:rsid w:val="007965C1"/>
    <w:rsid w:val="00796C25"/>
    <w:rsid w:val="00796E32"/>
    <w:rsid w:val="007A19F0"/>
    <w:rsid w:val="007A2971"/>
    <w:rsid w:val="007A3D66"/>
    <w:rsid w:val="007A4D31"/>
    <w:rsid w:val="007A7B72"/>
    <w:rsid w:val="007B11AF"/>
    <w:rsid w:val="007B23FC"/>
    <w:rsid w:val="007B4200"/>
    <w:rsid w:val="007C00E4"/>
    <w:rsid w:val="007C0D59"/>
    <w:rsid w:val="007C279A"/>
    <w:rsid w:val="007C28B4"/>
    <w:rsid w:val="007C38F9"/>
    <w:rsid w:val="007C5702"/>
    <w:rsid w:val="007C5B34"/>
    <w:rsid w:val="007C5E43"/>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366B"/>
    <w:rsid w:val="008157EA"/>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56C52"/>
    <w:rsid w:val="008608C7"/>
    <w:rsid w:val="00860FB9"/>
    <w:rsid w:val="00862E6C"/>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1C6"/>
    <w:rsid w:val="00894828"/>
    <w:rsid w:val="00894C59"/>
    <w:rsid w:val="008977B2"/>
    <w:rsid w:val="008A1651"/>
    <w:rsid w:val="008A39F5"/>
    <w:rsid w:val="008A3B80"/>
    <w:rsid w:val="008A4702"/>
    <w:rsid w:val="008A595E"/>
    <w:rsid w:val="008A5AA0"/>
    <w:rsid w:val="008A5DAA"/>
    <w:rsid w:val="008B07FC"/>
    <w:rsid w:val="008B2F9A"/>
    <w:rsid w:val="008B30EC"/>
    <w:rsid w:val="008B4871"/>
    <w:rsid w:val="008B6412"/>
    <w:rsid w:val="008C0C2B"/>
    <w:rsid w:val="008C21B1"/>
    <w:rsid w:val="008C35E5"/>
    <w:rsid w:val="008C3F8E"/>
    <w:rsid w:val="008C47FA"/>
    <w:rsid w:val="008C77BE"/>
    <w:rsid w:val="008D011A"/>
    <w:rsid w:val="008D0129"/>
    <w:rsid w:val="008D0238"/>
    <w:rsid w:val="008D13D7"/>
    <w:rsid w:val="008D3BEB"/>
    <w:rsid w:val="008D4CBB"/>
    <w:rsid w:val="008D57F5"/>
    <w:rsid w:val="008D6269"/>
    <w:rsid w:val="008D669F"/>
    <w:rsid w:val="008D7EB3"/>
    <w:rsid w:val="008E08C6"/>
    <w:rsid w:val="008E20FC"/>
    <w:rsid w:val="008E224D"/>
    <w:rsid w:val="008E23C8"/>
    <w:rsid w:val="008E4057"/>
    <w:rsid w:val="008E59B8"/>
    <w:rsid w:val="008E6E10"/>
    <w:rsid w:val="008F076A"/>
    <w:rsid w:val="008F1BA1"/>
    <w:rsid w:val="008F260D"/>
    <w:rsid w:val="008F35E7"/>
    <w:rsid w:val="008F66EC"/>
    <w:rsid w:val="00900357"/>
    <w:rsid w:val="009037BA"/>
    <w:rsid w:val="009039A9"/>
    <w:rsid w:val="00904C87"/>
    <w:rsid w:val="00906499"/>
    <w:rsid w:val="00913AC0"/>
    <w:rsid w:val="00913D8A"/>
    <w:rsid w:val="00916452"/>
    <w:rsid w:val="009172FA"/>
    <w:rsid w:val="0092238D"/>
    <w:rsid w:val="00923DC1"/>
    <w:rsid w:val="009247F9"/>
    <w:rsid w:val="0092530B"/>
    <w:rsid w:val="009270E6"/>
    <w:rsid w:val="009272B6"/>
    <w:rsid w:val="00927E8A"/>
    <w:rsid w:val="00930F7A"/>
    <w:rsid w:val="0093325E"/>
    <w:rsid w:val="009333ED"/>
    <w:rsid w:val="00933B50"/>
    <w:rsid w:val="009340D2"/>
    <w:rsid w:val="0093766B"/>
    <w:rsid w:val="00940968"/>
    <w:rsid w:val="0094208C"/>
    <w:rsid w:val="0094235B"/>
    <w:rsid w:val="00942F17"/>
    <w:rsid w:val="009440C1"/>
    <w:rsid w:val="009472C5"/>
    <w:rsid w:val="00947577"/>
    <w:rsid w:val="009477E5"/>
    <w:rsid w:val="0095082B"/>
    <w:rsid w:val="00951BDC"/>
    <w:rsid w:val="0095229C"/>
    <w:rsid w:val="009528E2"/>
    <w:rsid w:val="00952CEF"/>
    <w:rsid w:val="00953A11"/>
    <w:rsid w:val="00953A2E"/>
    <w:rsid w:val="00953FAC"/>
    <w:rsid w:val="00954439"/>
    <w:rsid w:val="00954920"/>
    <w:rsid w:val="00955421"/>
    <w:rsid w:val="00957EA1"/>
    <w:rsid w:val="00960DF8"/>
    <w:rsid w:val="009651DB"/>
    <w:rsid w:val="00966427"/>
    <w:rsid w:val="00972F0A"/>
    <w:rsid w:val="00974340"/>
    <w:rsid w:val="00976821"/>
    <w:rsid w:val="009776C7"/>
    <w:rsid w:val="00977C9C"/>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2DF9"/>
    <w:rsid w:val="009A46D1"/>
    <w:rsid w:val="009A7507"/>
    <w:rsid w:val="009A7E9D"/>
    <w:rsid w:val="009B160B"/>
    <w:rsid w:val="009B18B7"/>
    <w:rsid w:val="009B2679"/>
    <w:rsid w:val="009B2C8F"/>
    <w:rsid w:val="009B4710"/>
    <w:rsid w:val="009B4FEA"/>
    <w:rsid w:val="009B67AB"/>
    <w:rsid w:val="009B6E95"/>
    <w:rsid w:val="009C237B"/>
    <w:rsid w:val="009C246D"/>
    <w:rsid w:val="009C2BA3"/>
    <w:rsid w:val="009C523F"/>
    <w:rsid w:val="009C6BE6"/>
    <w:rsid w:val="009C7957"/>
    <w:rsid w:val="009D164A"/>
    <w:rsid w:val="009D389A"/>
    <w:rsid w:val="009D55DB"/>
    <w:rsid w:val="009D69C5"/>
    <w:rsid w:val="009D7930"/>
    <w:rsid w:val="009E4B36"/>
    <w:rsid w:val="009E4D80"/>
    <w:rsid w:val="009E52CC"/>
    <w:rsid w:val="009E5A93"/>
    <w:rsid w:val="009E5EB5"/>
    <w:rsid w:val="009F07ED"/>
    <w:rsid w:val="009F1366"/>
    <w:rsid w:val="009F16FD"/>
    <w:rsid w:val="009F29B3"/>
    <w:rsid w:val="009F3F89"/>
    <w:rsid w:val="009F65A2"/>
    <w:rsid w:val="00A0404D"/>
    <w:rsid w:val="00A05F92"/>
    <w:rsid w:val="00A10B01"/>
    <w:rsid w:val="00A124A1"/>
    <w:rsid w:val="00A1258C"/>
    <w:rsid w:val="00A1301D"/>
    <w:rsid w:val="00A14195"/>
    <w:rsid w:val="00A1516C"/>
    <w:rsid w:val="00A16FB7"/>
    <w:rsid w:val="00A20113"/>
    <w:rsid w:val="00A20D78"/>
    <w:rsid w:val="00A2107D"/>
    <w:rsid w:val="00A2215F"/>
    <w:rsid w:val="00A22839"/>
    <w:rsid w:val="00A23E19"/>
    <w:rsid w:val="00A25CEF"/>
    <w:rsid w:val="00A26DD6"/>
    <w:rsid w:val="00A278D3"/>
    <w:rsid w:val="00A30DD9"/>
    <w:rsid w:val="00A31A56"/>
    <w:rsid w:val="00A31B66"/>
    <w:rsid w:val="00A31E33"/>
    <w:rsid w:val="00A33185"/>
    <w:rsid w:val="00A3338A"/>
    <w:rsid w:val="00A33509"/>
    <w:rsid w:val="00A33FB5"/>
    <w:rsid w:val="00A344B1"/>
    <w:rsid w:val="00A34A58"/>
    <w:rsid w:val="00A34E3B"/>
    <w:rsid w:val="00A36B2C"/>
    <w:rsid w:val="00A41043"/>
    <w:rsid w:val="00A41221"/>
    <w:rsid w:val="00A440F6"/>
    <w:rsid w:val="00A44B40"/>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66B79"/>
    <w:rsid w:val="00A70641"/>
    <w:rsid w:val="00A71395"/>
    <w:rsid w:val="00A71BFD"/>
    <w:rsid w:val="00A71CD7"/>
    <w:rsid w:val="00A7210D"/>
    <w:rsid w:val="00A7271A"/>
    <w:rsid w:val="00A72DD7"/>
    <w:rsid w:val="00A72F97"/>
    <w:rsid w:val="00A769AE"/>
    <w:rsid w:val="00A80770"/>
    <w:rsid w:val="00A80821"/>
    <w:rsid w:val="00A81A0F"/>
    <w:rsid w:val="00A81E19"/>
    <w:rsid w:val="00A83EA4"/>
    <w:rsid w:val="00A8468F"/>
    <w:rsid w:val="00A91852"/>
    <w:rsid w:val="00A91C08"/>
    <w:rsid w:val="00A94305"/>
    <w:rsid w:val="00A95191"/>
    <w:rsid w:val="00A953C2"/>
    <w:rsid w:val="00A9620D"/>
    <w:rsid w:val="00A976C1"/>
    <w:rsid w:val="00AA1332"/>
    <w:rsid w:val="00AA41E5"/>
    <w:rsid w:val="00AA528F"/>
    <w:rsid w:val="00AA5B4B"/>
    <w:rsid w:val="00AA6AFE"/>
    <w:rsid w:val="00AA6CE5"/>
    <w:rsid w:val="00AB03EE"/>
    <w:rsid w:val="00AB1262"/>
    <w:rsid w:val="00AB2633"/>
    <w:rsid w:val="00AB4082"/>
    <w:rsid w:val="00AB501D"/>
    <w:rsid w:val="00AB6724"/>
    <w:rsid w:val="00AB795F"/>
    <w:rsid w:val="00AC2437"/>
    <w:rsid w:val="00AC6312"/>
    <w:rsid w:val="00AC666D"/>
    <w:rsid w:val="00AD1A1E"/>
    <w:rsid w:val="00AD2A00"/>
    <w:rsid w:val="00AD3803"/>
    <w:rsid w:val="00AD3D28"/>
    <w:rsid w:val="00AD4935"/>
    <w:rsid w:val="00AD4BD1"/>
    <w:rsid w:val="00AD4FF7"/>
    <w:rsid w:val="00AD6D80"/>
    <w:rsid w:val="00AD79C6"/>
    <w:rsid w:val="00AE1CFD"/>
    <w:rsid w:val="00AE3F29"/>
    <w:rsid w:val="00AE44D4"/>
    <w:rsid w:val="00AE56BA"/>
    <w:rsid w:val="00AE640A"/>
    <w:rsid w:val="00AE6F45"/>
    <w:rsid w:val="00AE7033"/>
    <w:rsid w:val="00AE7946"/>
    <w:rsid w:val="00AF011A"/>
    <w:rsid w:val="00AF06B3"/>
    <w:rsid w:val="00AF2552"/>
    <w:rsid w:val="00AF347B"/>
    <w:rsid w:val="00AF3E9C"/>
    <w:rsid w:val="00AF517D"/>
    <w:rsid w:val="00AF59F9"/>
    <w:rsid w:val="00AF66F2"/>
    <w:rsid w:val="00AF770A"/>
    <w:rsid w:val="00B02D20"/>
    <w:rsid w:val="00B05C1A"/>
    <w:rsid w:val="00B05C35"/>
    <w:rsid w:val="00B06CC3"/>
    <w:rsid w:val="00B06E89"/>
    <w:rsid w:val="00B07CC8"/>
    <w:rsid w:val="00B1044F"/>
    <w:rsid w:val="00B1160D"/>
    <w:rsid w:val="00B11849"/>
    <w:rsid w:val="00B13FB7"/>
    <w:rsid w:val="00B159A3"/>
    <w:rsid w:val="00B1698A"/>
    <w:rsid w:val="00B16AB3"/>
    <w:rsid w:val="00B17307"/>
    <w:rsid w:val="00B20310"/>
    <w:rsid w:val="00B21C50"/>
    <w:rsid w:val="00B228EA"/>
    <w:rsid w:val="00B24DC0"/>
    <w:rsid w:val="00B27727"/>
    <w:rsid w:val="00B27CB1"/>
    <w:rsid w:val="00B30E97"/>
    <w:rsid w:val="00B329CE"/>
    <w:rsid w:val="00B36716"/>
    <w:rsid w:val="00B37833"/>
    <w:rsid w:val="00B40527"/>
    <w:rsid w:val="00B41786"/>
    <w:rsid w:val="00B42BF2"/>
    <w:rsid w:val="00B444E6"/>
    <w:rsid w:val="00B457DF"/>
    <w:rsid w:val="00B46B5E"/>
    <w:rsid w:val="00B51D00"/>
    <w:rsid w:val="00B52011"/>
    <w:rsid w:val="00B53EFF"/>
    <w:rsid w:val="00B543AB"/>
    <w:rsid w:val="00B5452E"/>
    <w:rsid w:val="00B54AFA"/>
    <w:rsid w:val="00B54B72"/>
    <w:rsid w:val="00B60475"/>
    <w:rsid w:val="00B60857"/>
    <w:rsid w:val="00B61459"/>
    <w:rsid w:val="00B6360B"/>
    <w:rsid w:val="00B6533F"/>
    <w:rsid w:val="00B66810"/>
    <w:rsid w:val="00B671A4"/>
    <w:rsid w:val="00B7003E"/>
    <w:rsid w:val="00B731FC"/>
    <w:rsid w:val="00B75D7A"/>
    <w:rsid w:val="00B762E9"/>
    <w:rsid w:val="00B763F3"/>
    <w:rsid w:val="00B77CFB"/>
    <w:rsid w:val="00B804E8"/>
    <w:rsid w:val="00B82086"/>
    <w:rsid w:val="00B83B56"/>
    <w:rsid w:val="00B846B4"/>
    <w:rsid w:val="00B852B6"/>
    <w:rsid w:val="00B87D4F"/>
    <w:rsid w:val="00B94016"/>
    <w:rsid w:val="00B948C4"/>
    <w:rsid w:val="00B95259"/>
    <w:rsid w:val="00B9556A"/>
    <w:rsid w:val="00BA1B32"/>
    <w:rsid w:val="00BA2A1D"/>
    <w:rsid w:val="00BA7B29"/>
    <w:rsid w:val="00BB25A7"/>
    <w:rsid w:val="00BB2D4B"/>
    <w:rsid w:val="00BB4188"/>
    <w:rsid w:val="00BB56CB"/>
    <w:rsid w:val="00BB63EC"/>
    <w:rsid w:val="00BB687F"/>
    <w:rsid w:val="00BB771D"/>
    <w:rsid w:val="00BC0021"/>
    <w:rsid w:val="00BC05A6"/>
    <w:rsid w:val="00BC0D49"/>
    <w:rsid w:val="00BC0E21"/>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71C"/>
    <w:rsid w:val="00BD5A5F"/>
    <w:rsid w:val="00BD6CCD"/>
    <w:rsid w:val="00BD6E46"/>
    <w:rsid w:val="00BD7350"/>
    <w:rsid w:val="00BE0099"/>
    <w:rsid w:val="00BE040B"/>
    <w:rsid w:val="00BE1172"/>
    <w:rsid w:val="00BE1ACC"/>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7354"/>
    <w:rsid w:val="00C21509"/>
    <w:rsid w:val="00C27838"/>
    <w:rsid w:val="00C327E5"/>
    <w:rsid w:val="00C34991"/>
    <w:rsid w:val="00C372C5"/>
    <w:rsid w:val="00C373EB"/>
    <w:rsid w:val="00C407B8"/>
    <w:rsid w:val="00C414D4"/>
    <w:rsid w:val="00C43D14"/>
    <w:rsid w:val="00C444C1"/>
    <w:rsid w:val="00C455B5"/>
    <w:rsid w:val="00C462A0"/>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52B"/>
    <w:rsid w:val="00C72B5B"/>
    <w:rsid w:val="00C742E3"/>
    <w:rsid w:val="00C75F94"/>
    <w:rsid w:val="00C761D4"/>
    <w:rsid w:val="00C76F6F"/>
    <w:rsid w:val="00C8102B"/>
    <w:rsid w:val="00C810A7"/>
    <w:rsid w:val="00C811D6"/>
    <w:rsid w:val="00C81C10"/>
    <w:rsid w:val="00C8506F"/>
    <w:rsid w:val="00C91150"/>
    <w:rsid w:val="00C91ADC"/>
    <w:rsid w:val="00C91E39"/>
    <w:rsid w:val="00C920C9"/>
    <w:rsid w:val="00C93E9C"/>
    <w:rsid w:val="00C942E1"/>
    <w:rsid w:val="00C94F64"/>
    <w:rsid w:val="00C97CDB"/>
    <w:rsid w:val="00CA0075"/>
    <w:rsid w:val="00CA2E04"/>
    <w:rsid w:val="00CA2FF3"/>
    <w:rsid w:val="00CA4CC4"/>
    <w:rsid w:val="00CA5C65"/>
    <w:rsid w:val="00CA5F6E"/>
    <w:rsid w:val="00CA70AF"/>
    <w:rsid w:val="00CA79C7"/>
    <w:rsid w:val="00CB01F3"/>
    <w:rsid w:val="00CB1CAF"/>
    <w:rsid w:val="00CB1DF2"/>
    <w:rsid w:val="00CB25C5"/>
    <w:rsid w:val="00CB2A23"/>
    <w:rsid w:val="00CB2AAA"/>
    <w:rsid w:val="00CB3F47"/>
    <w:rsid w:val="00CB4CE7"/>
    <w:rsid w:val="00CB53AB"/>
    <w:rsid w:val="00CB6DCF"/>
    <w:rsid w:val="00CB7869"/>
    <w:rsid w:val="00CC17C2"/>
    <w:rsid w:val="00CC258C"/>
    <w:rsid w:val="00CC2797"/>
    <w:rsid w:val="00CC368A"/>
    <w:rsid w:val="00CC3A3C"/>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136"/>
    <w:rsid w:val="00CE59BC"/>
    <w:rsid w:val="00CE6A9E"/>
    <w:rsid w:val="00CF0FC4"/>
    <w:rsid w:val="00CF150C"/>
    <w:rsid w:val="00CF1706"/>
    <w:rsid w:val="00CF1E61"/>
    <w:rsid w:val="00CF48EF"/>
    <w:rsid w:val="00CF613A"/>
    <w:rsid w:val="00CF6932"/>
    <w:rsid w:val="00D01F52"/>
    <w:rsid w:val="00D01FE3"/>
    <w:rsid w:val="00D03ACC"/>
    <w:rsid w:val="00D04F65"/>
    <w:rsid w:val="00D06CA3"/>
    <w:rsid w:val="00D071BB"/>
    <w:rsid w:val="00D07F46"/>
    <w:rsid w:val="00D122E9"/>
    <w:rsid w:val="00D12E6F"/>
    <w:rsid w:val="00D12F50"/>
    <w:rsid w:val="00D1552E"/>
    <w:rsid w:val="00D170E5"/>
    <w:rsid w:val="00D207C1"/>
    <w:rsid w:val="00D207F0"/>
    <w:rsid w:val="00D21155"/>
    <w:rsid w:val="00D2455E"/>
    <w:rsid w:val="00D2600C"/>
    <w:rsid w:val="00D26D87"/>
    <w:rsid w:val="00D31229"/>
    <w:rsid w:val="00D3271A"/>
    <w:rsid w:val="00D33134"/>
    <w:rsid w:val="00D34688"/>
    <w:rsid w:val="00D373C8"/>
    <w:rsid w:val="00D37F2F"/>
    <w:rsid w:val="00D40765"/>
    <w:rsid w:val="00D415B9"/>
    <w:rsid w:val="00D461E5"/>
    <w:rsid w:val="00D47C3D"/>
    <w:rsid w:val="00D51405"/>
    <w:rsid w:val="00D528E8"/>
    <w:rsid w:val="00D53416"/>
    <w:rsid w:val="00D57546"/>
    <w:rsid w:val="00D61949"/>
    <w:rsid w:val="00D62AA2"/>
    <w:rsid w:val="00D656A1"/>
    <w:rsid w:val="00D66019"/>
    <w:rsid w:val="00D665EB"/>
    <w:rsid w:val="00D66DDB"/>
    <w:rsid w:val="00D66F77"/>
    <w:rsid w:val="00D71273"/>
    <w:rsid w:val="00D71F49"/>
    <w:rsid w:val="00D71F7F"/>
    <w:rsid w:val="00D7211A"/>
    <w:rsid w:val="00D771D0"/>
    <w:rsid w:val="00D772A3"/>
    <w:rsid w:val="00D775D6"/>
    <w:rsid w:val="00D835CF"/>
    <w:rsid w:val="00D84D5B"/>
    <w:rsid w:val="00D86FEB"/>
    <w:rsid w:val="00D9149A"/>
    <w:rsid w:val="00D94AAF"/>
    <w:rsid w:val="00D967D0"/>
    <w:rsid w:val="00D972CF"/>
    <w:rsid w:val="00DA0326"/>
    <w:rsid w:val="00DA1094"/>
    <w:rsid w:val="00DA207D"/>
    <w:rsid w:val="00DA2684"/>
    <w:rsid w:val="00DA26FB"/>
    <w:rsid w:val="00DA2A02"/>
    <w:rsid w:val="00DA3966"/>
    <w:rsid w:val="00DA4780"/>
    <w:rsid w:val="00DA4941"/>
    <w:rsid w:val="00DA58B7"/>
    <w:rsid w:val="00DA7295"/>
    <w:rsid w:val="00DB0B8C"/>
    <w:rsid w:val="00DB0F1C"/>
    <w:rsid w:val="00DB5385"/>
    <w:rsid w:val="00DB60B4"/>
    <w:rsid w:val="00DB648D"/>
    <w:rsid w:val="00DB6C3D"/>
    <w:rsid w:val="00DB6CE2"/>
    <w:rsid w:val="00DC02F1"/>
    <w:rsid w:val="00DC2B1B"/>
    <w:rsid w:val="00DC336E"/>
    <w:rsid w:val="00DC5ACF"/>
    <w:rsid w:val="00DC6EA1"/>
    <w:rsid w:val="00DC7010"/>
    <w:rsid w:val="00DC7888"/>
    <w:rsid w:val="00DC7E71"/>
    <w:rsid w:val="00DC7E7A"/>
    <w:rsid w:val="00DD0399"/>
    <w:rsid w:val="00DD22D7"/>
    <w:rsid w:val="00DD6920"/>
    <w:rsid w:val="00DD6F38"/>
    <w:rsid w:val="00DD7468"/>
    <w:rsid w:val="00DD7DF5"/>
    <w:rsid w:val="00DE25E9"/>
    <w:rsid w:val="00DE3D5E"/>
    <w:rsid w:val="00DE67B7"/>
    <w:rsid w:val="00DE71D3"/>
    <w:rsid w:val="00DE72CF"/>
    <w:rsid w:val="00DE7AFC"/>
    <w:rsid w:val="00DF08A0"/>
    <w:rsid w:val="00DF12E0"/>
    <w:rsid w:val="00DF19C4"/>
    <w:rsid w:val="00DF3190"/>
    <w:rsid w:val="00DF33F5"/>
    <w:rsid w:val="00DF5888"/>
    <w:rsid w:val="00E0303C"/>
    <w:rsid w:val="00E032C7"/>
    <w:rsid w:val="00E037F5"/>
    <w:rsid w:val="00E1049C"/>
    <w:rsid w:val="00E12917"/>
    <w:rsid w:val="00E136DA"/>
    <w:rsid w:val="00E1686D"/>
    <w:rsid w:val="00E16D65"/>
    <w:rsid w:val="00E20691"/>
    <w:rsid w:val="00E21C4D"/>
    <w:rsid w:val="00E22B25"/>
    <w:rsid w:val="00E22CCA"/>
    <w:rsid w:val="00E2604A"/>
    <w:rsid w:val="00E269CF"/>
    <w:rsid w:val="00E4062A"/>
    <w:rsid w:val="00E41596"/>
    <w:rsid w:val="00E41F8A"/>
    <w:rsid w:val="00E4256F"/>
    <w:rsid w:val="00E42BAC"/>
    <w:rsid w:val="00E43256"/>
    <w:rsid w:val="00E433A1"/>
    <w:rsid w:val="00E43B5D"/>
    <w:rsid w:val="00E5120E"/>
    <w:rsid w:val="00E52307"/>
    <w:rsid w:val="00E52FAF"/>
    <w:rsid w:val="00E5312A"/>
    <w:rsid w:val="00E54211"/>
    <w:rsid w:val="00E54898"/>
    <w:rsid w:val="00E552B8"/>
    <w:rsid w:val="00E56319"/>
    <w:rsid w:val="00E56F07"/>
    <w:rsid w:val="00E63C4C"/>
    <w:rsid w:val="00E66A2A"/>
    <w:rsid w:val="00E67574"/>
    <w:rsid w:val="00E70760"/>
    <w:rsid w:val="00E7133E"/>
    <w:rsid w:val="00E71B40"/>
    <w:rsid w:val="00E72C93"/>
    <w:rsid w:val="00E74608"/>
    <w:rsid w:val="00E76761"/>
    <w:rsid w:val="00E7713B"/>
    <w:rsid w:val="00E814F9"/>
    <w:rsid w:val="00E81EEA"/>
    <w:rsid w:val="00E82957"/>
    <w:rsid w:val="00E84A9B"/>
    <w:rsid w:val="00E85725"/>
    <w:rsid w:val="00E85E95"/>
    <w:rsid w:val="00E86A02"/>
    <w:rsid w:val="00E91780"/>
    <w:rsid w:val="00E91B67"/>
    <w:rsid w:val="00E9253C"/>
    <w:rsid w:val="00E938FE"/>
    <w:rsid w:val="00E96A83"/>
    <w:rsid w:val="00E971A9"/>
    <w:rsid w:val="00E971D9"/>
    <w:rsid w:val="00E9752B"/>
    <w:rsid w:val="00EA1F45"/>
    <w:rsid w:val="00EA216C"/>
    <w:rsid w:val="00EA30B3"/>
    <w:rsid w:val="00EA5874"/>
    <w:rsid w:val="00EA5CF8"/>
    <w:rsid w:val="00EA6BA3"/>
    <w:rsid w:val="00EB1A01"/>
    <w:rsid w:val="00EB3E04"/>
    <w:rsid w:val="00EB45B5"/>
    <w:rsid w:val="00EB4B9A"/>
    <w:rsid w:val="00EB52D3"/>
    <w:rsid w:val="00EB5B15"/>
    <w:rsid w:val="00EB5E57"/>
    <w:rsid w:val="00EB61DB"/>
    <w:rsid w:val="00EB6676"/>
    <w:rsid w:val="00EB7100"/>
    <w:rsid w:val="00EC1B92"/>
    <w:rsid w:val="00EC3315"/>
    <w:rsid w:val="00ED1DE8"/>
    <w:rsid w:val="00ED3EEB"/>
    <w:rsid w:val="00ED4AFD"/>
    <w:rsid w:val="00ED691E"/>
    <w:rsid w:val="00EE0121"/>
    <w:rsid w:val="00EE2675"/>
    <w:rsid w:val="00EE4FBE"/>
    <w:rsid w:val="00EE6335"/>
    <w:rsid w:val="00EF3138"/>
    <w:rsid w:val="00EF32D2"/>
    <w:rsid w:val="00EF402C"/>
    <w:rsid w:val="00EF4214"/>
    <w:rsid w:val="00EF48F9"/>
    <w:rsid w:val="00EF4FF7"/>
    <w:rsid w:val="00EF5870"/>
    <w:rsid w:val="00EF5B8A"/>
    <w:rsid w:val="00EF6299"/>
    <w:rsid w:val="00EF757C"/>
    <w:rsid w:val="00F013AA"/>
    <w:rsid w:val="00F048C8"/>
    <w:rsid w:val="00F062E1"/>
    <w:rsid w:val="00F073D2"/>
    <w:rsid w:val="00F10DAD"/>
    <w:rsid w:val="00F11BE9"/>
    <w:rsid w:val="00F12AC4"/>
    <w:rsid w:val="00F15789"/>
    <w:rsid w:val="00F16B75"/>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12A4"/>
    <w:rsid w:val="00F51A83"/>
    <w:rsid w:val="00F52080"/>
    <w:rsid w:val="00F52920"/>
    <w:rsid w:val="00F52BF3"/>
    <w:rsid w:val="00F539B5"/>
    <w:rsid w:val="00F548CD"/>
    <w:rsid w:val="00F54CA0"/>
    <w:rsid w:val="00F5649A"/>
    <w:rsid w:val="00F5674D"/>
    <w:rsid w:val="00F6072B"/>
    <w:rsid w:val="00F608F4"/>
    <w:rsid w:val="00F60D76"/>
    <w:rsid w:val="00F61682"/>
    <w:rsid w:val="00F6199F"/>
    <w:rsid w:val="00F6344A"/>
    <w:rsid w:val="00F63C56"/>
    <w:rsid w:val="00F641A4"/>
    <w:rsid w:val="00F65BEB"/>
    <w:rsid w:val="00F65F9C"/>
    <w:rsid w:val="00F66253"/>
    <w:rsid w:val="00F678AF"/>
    <w:rsid w:val="00F67DC5"/>
    <w:rsid w:val="00F71E1A"/>
    <w:rsid w:val="00F72177"/>
    <w:rsid w:val="00F731D6"/>
    <w:rsid w:val="00F74958"/>
    <w:rsid w:val="00F771E5"/>
    <w:rsid w:val="00F77BF5"/>
    <w:rsid w:val="00F77EFC"/>
    <w:rsid w:val="00F82342"/>
    <w:rsid w:val="00F82419"/>
    <w:rsid w:val="00F862BF"/>
    <w:rsid w:val="00F86520"/>
    <w:rsid w:val="00F877DB"/>
    <w:rsid w:val="00F90145"/>
    <w:rsid w:val="00F90841"/>
    <w:rsid w:val="00F91AE4"/>
    <w:rsid w:val="00F93C8B"/>
    <w:rsid w:val="00F959DD"/>
    <w:rsid w:val="00F960D5"/>
    <w:rsid w:val="00F960EA"/>
    <w:rsid w:val="00F96554"/>
    <w:rsid w:val="00F979D0"/>
    <w:rsid w:val="00FA0D60"/>
    <w:rsid w:val="00FA1F70"/>
    <w:rsid w:val="00FA3AA7"/>
    <w:rsid w:val="00FA4BF4"/>
    <w:rsid w:val="00FA67D2"/>
    <w:rsid w:val="00FB0BB7"/>
    <w:rsid w:val="00FB105A"/>
    <w:rsid w:val="00FB1231"/>
    <w:rsid w:val="00FB17C8"/>
    <w:rsid w:val="00FB287D"/>
    <w:rsid w:val="00FB37BD"/>
    <w:rsid w:val="00FB687E"/>
    <w:rsid w:val="00FC1655"/>
    <w:rsid w:val="00FC1C5C"/>
    <w:rsid w:val="00FC2A0F"/>
    <w:rsid w:val="00FC3391"/>
    <w:rsid w:val="00FC40D7"/>
    <w:rsid w:val="00FC4EAF"/>
    <w:rsid w:val="00FC54F5"/>
    <w:rsid w:val="00FC5F79"/>
    <w:rsid w:val="00FC6577"/>
    <w:rsid w:val="00FD03D6"/>
    <w:rsid w:val="00FD3602"/>
    <w:rsid w:val="00FD62FD"/>
    <w:rsid w:val="00FD7AED"/>
    <w:rsid w:val="00FE17E2"/>
    <w:rsid w:val="00FE1AC6"/>
    <w:rsid w:val="00FE216A"/>
    <w:rsid w:val="00FE2A9D"/>
    <w:rsid w:val="00FE4A35"/>
    <w:rsid w:val="00FE507B"/>
    <w:rsid w:val="00FE602E"/>
    <w:rsid w:val="00FE6046"/>
    <w:rsid w:val="00FE63BA"/>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4198381">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09437945">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8019350">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387410492">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08622371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moderngov.harrow.gov.uk/documents/s175282/Final%20Budget%20Report%20February%20Cabinet%20-3-2-20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niels@harrow.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11bda97-64e7-4000-91fd-dcaad77bf85d" ContentTypeId="0x0101000226E4B75CFA47B488D2CEFE4DCFDD6412" PreviousValue="true"/>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customXml/itemProps3.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FD1A9ADE-9EB6-4BB1-9415-D95F2C27A0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7185</Words>
  <Characters>37604</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44700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14</cp:revision>
  <cp:lastPrinted>2019-09-02T07:18:00Z</cp:lastPrinted>
  <dcterms:created xsi:type="dcterms:W3CDTF">2022-11-28T09:46:00Z</dcterms:created>
  <dcterms:modified xsi:type="dcterms:W3CDTF">2022-11-30T15:55:00Z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